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  <w:bCs/>
        </w:rPr>
        <w:t xml:space="preserve">Протокол рассмотрения и оценки вторых частей заявок на участие в закупке № 0132600032725001368</w:t>
      </w:r>
    </w:p>
    <w:p>
      <w:r/>
    </w:p>
    <w:p>
      <w:pPr>
        <w:jc w:val="right"/>
      </w:pPr>
      <w:r>
        <w:rPr>
          <w:b w:val="0"/>
          <w:bCs w:val="0"/>
        </w:rPr>
        <w:t xml:space="preserve">Дата рассмотрения и оценки вторых частей заявок на участие в закупке: 22.01.2026г.</w:t>
      </w:r>
    </w:p>
    <w:p>
      <w:r/>
    </w:p>
    <w:p>
      <w:pPr>
        <w:keepLines/>
        <w:numPr>
          <w:numId w:val="4"/>
          <w:ilvl w:val="0"/>
        </w:numPr>
        <w:spacing w:after="96"/>
        <w:jc w:val="both"/>
      </w:pPr>
      <w:r>
        <w:t xml:space="preserve">Способ определения поставщика (подрядчика, исполнителя): Открытый конкурс в электронной форме</w:t>
      </w:r>
    </w:p>
    <w:p>
      <w:pPr>
        <w:keepLines/>
        <w:numPr>
          <w:numId w:val="4"/>
          <w:ilvl w:val="0"/>
        </w:numPr>
        <w:spacing w:after="96"/>
      </w:pPr>
      <w:r>
        <w:t xml:space="preserve">Номер извещения об осуществлении закупки: 0132600032725001368</w:t>
      </w:r>
    </w:p>
    <w:p>
      <w:pPr>
        <w:keepLines/>
        <w:numPr>
          <w:numId w:val="4"/>
          <w:ilvl w:val="0"/>
        </w:numPr>
        <w:spacing w:after="96"/>
      </w:pPr>
      <w:r>
        <w:t xml:space="preserve">Определение поставщика (подрядчика, исполнителя) осуществляет:</w:t>
      </w:r>
    </w:p>
    <w:p>
      <w:pPr>
        <w:jc w:val="both"/>
      </w:pPr>
      <w:r>
        <w:t xml:space="preserve">Департамент экономического развития и инвестиций администрации города Нижнего Новгорода</w:t>
      </w:r>
    </w:p>
    <w:p>
      <w:r/>
    </w:p>
    <w:p>
      <w:pPr>
        <w:keepLines/>
        <w:numPr>
          <w:numId w:val="4"/>
          <w:ilvl w:val="0"/>
        </w:numPr>
        <w:spacing w:after="96"/>
        <w:jc w:val="both"/>
      </w:pPr>
      <w:r>
        <w:t xml:space="preserve">Заказчик(и):</w:t>
      </w:r>
    </w:p>
    <w:p>
      <w:pPr>
        <w:jc w:val="both"/>
      </w:pPr>
      <w:r>
        <w:t xml:space="preserve">АДМИНИСТРАЦИЯ АВТОЗАВОДСКОГО РАЙОНА ГОРОДА НИЖНЕГО НОВГОРОДА</w:t>
      </w:r>
    </w:p>
    <w:p>
      <w:r/>
    </w:p>
    <w:p>
      <w:pPr>
        <w:keepLines/>
        <w:numPr>
          <w:numId w:val="4"/>
          <w:ilvl w:val="0"/>
        </w:numPr>
        <w:spacing w:after="96"/>
      </w:pPr>
      <w:r>
        <w:t xml:space="preserve">Идентификационный код закупки: 253525600867152560100103010010000244</w:t>
      </w:r>
    </w:p>
    <w:p>
      <w:pPr>
        <w:keepLines/>
        <w:numPr>
          <w:numId w:val="4"/>
          <w:ilvl w:val="0"/>
        </w:numPr>
        <w:spacing w:after="96"/>
        <w:jc w:val="both"/>
      </w:pPr>
      <w:r>
        <w:t xml:space="preserve">Наименование объекта закупки: Выполнение работ по комплексному благоустройству общественной территории: «Парк им. 777-летия города Нижнего Новгорода» в Автозаводском районе города Нижнего Новгорода (2-я очередь)</w:t>
      </w:r>
    </w:p>
    <w:p>
      <w:pPr>
        <w:keepLines/>
        <w:numPr>
          <w:numId w:val="4"/>
          <w:ilvl w:val="0"/>
        </w:numPr>
        <w:spacing w:after="96"/>
      </w:pPr>
      <w:r>
        <w:t xml:space="preserve">Начальная (максимальная) цена контракта: 198 675 377,62 руб.</w:t>
      </w:r>
    </w:p>
    <w:p>
      <w:pPr>
        <w:keepLines/>
        <w:numPr>
          <w:numId w:val="4"/>
          <w:ilvl w:val="0"/>
        </w:numPr>
        <w:spacing w:after="96"/>
        <w:jc w:val="both"/>
      </w:pPr>
      <w:r>
        <w:t xml:space="preserve">Извещение об осуществлении закупки размещено «30» декабря 2025г. на официальном сайте единой информационной системы в сфере закупок http://zakupki.gov.ru/, а также на сайте электронной площадки АО «ЕЭТП» http://roseltorg.ru.</w:t>
      </w:r>
    </w:p>
    <w:p>
      <w:pPr>
        <w:keepLines/>
        <w:numPr>
          <w:numId w:val="4"/>
          <w:ilvl w:val="0"/>
        </w:numPr>
        <w:spacing w:after="96"/>
      </w:pPr>
      <w:r>
        <w:t xml:space="preserve">На заседании комиссии по осуществлению закупок присутствовали:</w:t>
      </w:r>
    </w:p>
    <w:tbl>
      <w:tblPr>
        <w:tblStyle w:val="style65108"/>
      </w:tblPr>
      <w:tblGrid>
        <w:gridCol w:w="6000"/>
        <w:gridCol w:w="3050"/>
        <w:gridCol w:w="1500"/>
      </w:tblGrid>
      <w:tr>
        <w:trPr/>
        <w:tc>
          <w:tcPr>
            <w:tcW w:w="6000" w:type="dxa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Роль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Право голоса</w:t>
            </w:r>
          </w:p>
        </w:tc>
      </w:tr>
      <w:tr>
        <w:trPr/>
        <w:tc>
          <w:tcPr>
            <w:tcW w:w="6000" w:type="dxa"/>
            <w:vAlign w:val="center"/>
          </w:tcPr>
          <w:p>
            <w:pPr>
              <w:jc w:val="center"/>
            </w:pPr>
            <w:r>
              <w:t xml:space="preserve">Зиновьев Артем Владимирович</w:t>
            </w:r>
          </w:p>
        </w:tc>
        <w:tc>
          <w:tcPr>
            <w:tcW w:w="3050" w:type="dxa"/>
            <w:vAlign w:val="center"/>
          </w:tcPr>
          <w:p>
            <w:pPr>
              <w:jc w:val="center"/>
            </w:pPr>
            <w:r>
              <w:t xml:space="preserve">Председатель комиссии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t xml:space="preserve">Да</w:t>
            </w:r>
          </w:p>
        </w:tc>
      </w:tr>
      <w:tr>
        <w:trPr/>
        <w:tc>
          <w:tcPr>
            <w:tcW w:w="6000" w:type="dxa"/>
            <w:vAlign w:val="center"/>
          </w:tcPr>
          <w:p>
            <w:pPr>
              <w:jc w:val="center"/>
            </w:pPr>
            <w:r>
              <w:t xml:space="preserve">Балакина Ирина Геннадьевна</w:t>
            </w:r>
          </w:p>
        </w:tc>
        <w:tc>
          <w:tcPr>
            <w:tcW w:w="3050" w:type="dxa"/>
            <w:vAlign w:val="center"/>
          </w:tcPr>
          <w:p>
            <w:pPr>
              <w:jc w:val="center"/>
            </w:pPr>
            <w:r>
              <w:t xml:space="preserve">Член комиссии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t xml:space="preserve">Да</w:t>
            </w:r>
          </w:p>
        </w:tc>
      </w:tr>
      <w:tr>
        <w:trPr/>
        <w:tc>
          <w:tcPr>
            <w:tcW w:w="6000" w:type="dxa"/>
            <w:vAlign w:val="center"/>
          </w:tcPr>
          <w:p>
            <w:pPr>
              <w:jc w:val="center"/>
            </w:pPr>
            <w:r>
              <w:t xml:space="preserve">Масюкова Юлия Николаевна</w:t>
            </w:r>
          </w:p>
        </w:tc>
        <w:tc>
          <w:tcPr>
            <w:tcW w:w="3050" w:type="dxa"/>
            <w:vAlign w:val="center"/>
          </w:tcPr>
          <w:p>
            <w:pPr>
              <w:jc w:val="center"/>
            </w:pPr>
            <w:r>
              <w:t xml:space="preserve">Член комиссии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t xml:space="preserve">Да</w:t>
            </w:r>
          </w:p>
        </w:tc>
      </w:tr>
      <w:tr>
        <w:trPr/>
        <w:tc>
          <w:tcPr>
            <w:tcW w:w="6000" w:type="dxa"/>
            <w:vAlign w:val="center"/>
          </w:tcPr>
          <w:p>
            <w:pPr>
              <w:jc w:val="center"/>
            </w:pPr>
            <w:r>
              <w:t xml:space="preserve">Шкляева Екатерина Сергеевна</w:t>
            </w:r>
          </w:p>
        </w:tc>
        <w:tc>
          <w:tcPr>
            <w:tcW w:w="3050" w:type="dxa"/>
            <w:vAlign w:val="center"/>
          </w:tcPr>
          <w:p>
            <w:pPr>
              <w:jc w:val="center"/>
            </w:pPr>
            <w:r>
              <w:t xml:space="preserve">Секретарь комиссии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t xml:space="preserve">Да</w:t>
            </w:r>
          </w:p>
        </w:tc>
      </w:tr>
    </w:tbl>
    <w:p/>
    <w:p>
      <w:r>
        <w:t xml:space="preserve"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>
      <w:r/>
    </w:p>
    <w:p>
      <w:pPr>
        <w:keepLines/>
        <w:numPr>
          <w:numId w:val="4"/>
          <w:ilvl w:val="0"/>
        </w:numPr>
        <w:spacing w:after="96"/>
        <w:jc w:val="both"/>
      </w:pPr>
      <w:r>
        <w:t xml:space="preserve">Члены комиссии по осуществлению закупок рассмотрели и оценили вторые части заявок на участие в закупке, а также рассмотрели информацию и документы участника, предусмотренные пунктом 2 и 3 части 6 статьи 43 Федерального закона от 05 апреля 2013 г. № 44-ФЗ в порядке, установленном частью 11 статьи 48 Федерального закона от 05.04.2013 г. № 44-ФЗ, на соответствие требованиям, установленным извещением об осуществлении закупки, и приняли решение:</w:t>
      </w:r>
    </w:p>
    <w:tbl>
      <w:tblPr>
        <w:tblStyle w:val="style74279"/>
      </w:tblPr>
      <w:tblGrid>
        <w:gridCol w:w="1550"/>
        <w:gridCol w:w="2100"/>
        <w:gridCol w:w="1600"/>
        <w:gridCol w:w="2100"/>
        <w:gridCol w:w="1600"/>
        <w:gridCol w:w="1600"/>
      </w:tblGrid>
      <w:tr>
        <w:trPr/>
        <w:tc>
          <w:tcPr>
            <w:tcW w:w="1550" w:type="dxa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Идентификационный номер заявки, присвоенный оператором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Решение о признании второй части заявки соответствующей извещению об осуществлении закупки или об отклонении (с обоснованием) второй части заявки на участие в закупке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Члены комиссии по осуществлению закупок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Оценка второй части заявки, по критерию предусмотренному п. 4 ч. 1. ст. 32 Закона № 44-ФЗ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Итоговая оценка второй части заявки, по критерию предусмотренному п. 4 ч. 1. ст. 32 Закона № 44-ФЗ</w:t>
            </w:r>
          </w:p>
        </w:tc>
      </w:tr>
      <w:tr>
        <w:trPr/>
        <w:tc>
          <w:tcPr>
            <w:tcW w:w="1550" w:type="dxa"/>
            <w:vMerge w:val="restart"/>
            <w:vAlign w:val="center"/>
          </w:tcPr>
          <w:p>
            <w:pPr>
              <w:jc w:val="center"/>
            </w:pPr>
            <w:r>
              <w:t xml:space="preserve">2750031</w:t>
            </w:r>
          </w:p>
        </w:tc>
        <w:tc>
          <w:tcPr>
            <w:tcW w:w="2100" w:type="dxa"/>
            <w:vMerge w:val="restart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Зиновьев Артем Владимирович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40.00</w:t>
            </w:r>
          </w:p>
        </w:tc>
        <w:tc>
          <w:tcPr>
            <w:tcW w:w="1600" w:type="dxa"/>
            <w:vMerge w:val="restart"/>
            <w:vAlign w:val="center"/>
          </w:tcPr>
          <w:p>
            <w:pPr>
              <w:jc w:val="center"/>
            </w:pPr>
            <w:r>
              <w:t xml:space="preserve">40</w:t>
            </w:r>
          </w:p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Балакина Ирина Геннадьевна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40.00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Масюкова Юлия Николаевна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40.00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Шкляева Екатерина Сергеевна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40.00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tcW w:w="1550" w:type="dxa"/>
            <w:vMerge w:val="restart"/>
            <w:vAlign w:val="center"/>
          </w:tcPr>
          <w:p>
            <w:pPr>
              <w:jc w:val="center"/>
            </w:pPr>
            <w:r>
              <w:t xml:space="preserve">2756883</w:t>
            </w:r>
          </w:p>
        </w:tc>
        <w:tc>
          <w:tcPr>
            <w:tcW w:w="2100" w:type="dxa"/>
            <w:vMerge w:val="restart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Зиновьев Артем Владимирович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3.04</w:t>
            </w:r>
          </w:p>
        </w:tc>
        <w:tc>
          <w:tcPr>
            <w:tcW w:w="1600" w:type="dxa"/>
            <w:vMerge w:val="restart"/>
            <w:vAlign w:val="center"/>
          </w:tcPr>
          <w:p>
            <w:pPr>
              <w:jc w:val="center"/>
            </w:pPr>
            <w:r>
              <w:t xml:space="preserve">3.04</w:t>
            </w:r>
          </w:p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Балакина Ирина Геннадьевна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3.04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Масюкова Юлия Николаевна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3.04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Шкляева Екатерина Сергеевна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3.04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tcW w:w="1550" w:type="dxa"/>
            <w:vMerge w:val="restart"/>
            <w:vAlign w:val="center"/>
          </w:tcPr>
          <w:p>
            <w:pPr>
              <w:jc w:val="center"/>
            </w:pPr>
            <w:r>
              <w:t xml:space="preserve">2759238</w:t>
            </w:r>
          </w:p>
        </w:tc>
        <w:tc>
          <w:tcPr>
            <w:tcW w:w="2100" w:type="dxa"/>
            <w:vMerge w:val="restart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Зиновьев Артем Владимирович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10.75</w:t>
            </w:r>
          </w:p>
        </w:tc>
        <w:tc>
          <w:tcPr>
            <w:tcW w:w="1600" w:type="dxa"/>
            <w:vMerge w:val="restart"/>
            <w:vAlign w:val="center"/>
          </w:tcPr>
          <w:p>
            <w:pPr>
              <w:jc w:val="center"/>
            </w:pPr>
            <w:r>
              <w:t xml:space="preserve">10.75</w:t>
            </w:r>
          </w:p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Балакина Ирина Геннадьевна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10.75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Масюкова Юлия Николаевна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10.75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Шкляева Екатерина Сергеевна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10.75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tcW w:w="1550" w:type="dxa"/>
            <w:vMerge w:val="restart"/>
            <w:vAlign w:val="center"/>
          </w:tcPr>
          <w:p>
            <w:pPr>
              <w:jc w:val="center"/>
            </w:pPr>
            <w:r>
              <w:t xml:space="preserve">2759281</w:t>
            </w:r>
          </w:p>
        </w:tc>
        <w:tc>
          <w:tcPr>
            <w:tcW w:w="2100" w:type="dxa"/>
            <w:vMerge w:val="restart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Зиновьев Артем Владимирович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0.00</w:t>
            </w:r>
          </w:p>
        </w:tc>
        <w:tc>
          <w:tcPr>
            <w:tcW w:w="1600" w:type="dxa"/>
            <w:vMerge w:val="restart"/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Балакина Ирина Геннадьевна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0.00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Масюкова Юлия Николаевна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0.00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Шкляева Екатерина Сергеевна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0.00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tcW w:w="1550" w:type="dxa"/>
            <w:vMerge w:val="restart"/>
            <w:vAlign w:val="center"/>
          </w:tcPr>
          <w:p>
            <w:pPr>
              <w:jc w:val="center"/>
            </w:pPr>
            <w:r>
              <w:t xml:space="preserve">2760096</w:t>
            </w:r>
          </w:p>
        </w:tc>
        <w:tc>
          <w:tcPr>
            <w:tcW w:w="2100" w:type="dxa"/>
            <w:vMerge w:val="restart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Зиновьев Артем Владимирович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5.50</w:t>
            </w:r>
          </w:p>
        </w:tc>
        <w:tc>
          <w:tcPr>
            <w:tcW w:w="1600" w:type="dxa"/>
            <w:vMerge w:val="restart"/>
            <w:vAlign w:val="center"/>
          </w:tcPr>
          <w:p>
            <w:pPr>
              <w:jc w:val="center"/>
            </w:pPr>
            <w:r>
              <w:t xml:space="preserve">5.5</w:t>
            </w:r>
          </w:p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Балакина Ирина Геннадьевна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5.50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Масюкова Юлия Николаевна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5.50</w:t>
            </w:r>
          </w:p>
        </w:tc>
        <w:tc>
          <w:tcPr>
            <w:vMerge w:val="continue"/>
            <w:vAlign w:val="center"/>
          </w:tcPr>
          <w:p/>
        </w:tc>
      </w:tr>
      <w:tr>
        <w:trPr/>
        <w:tc>
          <w:tcPr>
            <w:vMerge w:val="continue"/>
            <w:vAlign w:val="center"/>
          </w:tcPr>
          <w:p/>
        </w:tc>
        <w:tc>
          <w:tcPr>
            <w:vMerge w:val="continue"/>
            <w:vAlign w:val="center"/>
          </w:tcPr>
          <w:p/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Шкляева Екатерина Сергеевна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</w:pPr>
            <w:r>
              <w:t xml:space="preserve">5.50</w:t>
            </w:r>
          </w:p>
        </w:tc>
        <w:tc>
          <w:tcPr>
            <w:vMerge w:val="continue"/>
            <w:vAlign w:val="center"/>
          </w:tcPr>
          <w:p/>
        </w:tc>
      </w:tr>
    </w:tbl>
    <w:p>
      <w:r/>
    </w:p>
    <w:p>
      <w:pPr>
        <w:keepLines/>
        <w:numPr>
          <w:numId w:val="4"/>
          <w:ilvl w:val="0"/>
        </w:numPr>
        <w:spacing w:after="96"/>
        <w:jc w:val="both"/>
      </w:pPr>
      <w:r>
        <w:t xml:space="preserve">Настоящий протокол сформирован с использованием электронной площадки АО «ЕЭТП»,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заказчика и направлен оператору электронной площадки АО «ЕЭТП» по адресу в сети «Интернет»: http://roseltorg.ru.</w:t>
      </w:r>
    </w:p>
    <w:sectPr>
      <w:pgSz w:w="11905" w:h="16837" w:orient="portrait"/>
      <w:pgMar w:top="566" w:right="566" w:bottom="566" w:left="850" w:header="720" w:footer="720" w:gutter="0"/>
      <w:cols w:num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">
    <w:multiLevelType w:val="hybridMultilevel"/>
    <w:lvl w:ilvl="0">
      <w:start w:val="1"/>
      <w:numFmt w:val="decimal"/>
      <w:suff w:val="tab"/>
      <w:lvlText w:val="%1."/>
      <w:pPr>
        <w:tabs>
          <w:tab w:val="num" w:pos="360"/>
        </w:tabs>
        <w:ind w:left="0" w:hanging="360"/>
      </w:pPr>
    </w:lvl>
    <w:lvl w:ilvl="1">
      <w:start w:val="1"/>
      <w:numFmt w:val="decimal"/>
      <w:suff w:val="tab"/>
      <w:lvlText w:val="%1.%2."/>
      <w:pPr>
        <w:tabs>
          <w:tab w:val="num" w:pos="360"/>
        </w:tabs>
        <w:ind w:left="360" w:hanging="360"/>
      </w:pPr>
    </w:lvl>
    <w:lvl w:ilvl="2">
      <w:start w:val="1"/>
      <w:numFmt w:val="decimal"/>
      <w:suff w:val="tab"/>
      <w:lvlText w:val="%1.%2.%3."/>
      <w:pPr>
        <w:tabs>
          <w:tab w:val="num" w:pos="432"/>
        </w:tabs>
        <w:ind w:left="792" w:hanging="792"/>
      </w:pPr>
    </w:lvl>
  </w:abstract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eastAsia="Liberation Serif" w:cs="Liberation Serif"/>
        <w:sz w:val="18"/>
        <w:szCs w:val="18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P-Style" w:customStyle="1">
    <w:name w:val="P-Style"/>
    <w:basedOn w:val="Normal"/>
    <w:pPr>
      <w:keepLines/>
      <w:spacing w:after="96"/>
      <w:jc w:val="both"/>
    </w:pPr>
  </w:style>
  <w:style w:type="table" w:styleId="style65108" w:customStyle="1">
    <w:name w:val="style65108"/>
    <w:uiPriority w:val="99"/>
    <w:tblPr>
      <w:tblW w:w="0" w:type="auto"/>
      <w:tblBorders>
        <w:top w:val="single" w:color="000000" w:sz="1"/>
        <w:left w:val="single" w:color="000000" w:sz="1"/>
        <w:bottom w:val="single" w:color="000000" w:sz="1"/>
        <w:right w:val="single" w:color="000000" w:sz="1"/>
        <w:insideH w:val="single" w:color="000000" w:sz="1"/>
        <w:insideV w:val="single" w:color="000000" w:sz="1"/>
      </w:tblBorders>
      <w:tblLayout w:type="autofit"/>
      <w:tblCellMar>
        <w:left w:w="25" w:type="dxa"/>
        <w:top w:w="25" w:type="dxa"/>
        <w:right w:w="25" w:type="dxa"/>
        <w:bottom w:w="25" w:type="dxa"/>
      </w:tblCellMar>
    </w:tblPr>
  </w:style>
  <w:style w:type="table" w:styleId="style74279" w:customStyle="1">
    <w:name w:val="style74279"/>
    <w:uiPriority w:val="99"/>
    <w:tblPr>
      <w:tblW w:w="0" w:type="auto"/>
      <w:tblBorders>
        <w:top w:val="single" w:color="000000" w:sz="1"/>
        <w:left w:val="single" w:color="000000" w:sz="1"/>
        <w:bottom w:val="single" w:color="000000" w:sz="1"/>
        <w:right w:val="single" w:color="000000" w:sz="1"/>
        <w:insideH w:val="single" w:color="000000" w:sz="1"/>
        <w:insideV w:val="single" w:color="000000" w:sz="1"/>
      </w:tblBorders>
      <w:tblLayout w:type="autofit"/>
      <w:tblCellMar>
        <w:left w:w="25" w:type="dxa"/>
        <w:top w:w="25" w:type="dxa"/>
        <w:right w:w="25" w:type="dxa"/>
        <w:bottom w:w="25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shklyaeva</cp:lastModifiedBy>
  <dcterms:created xsi:type="dcterms:W3CDTF">2026-01-22T13:01:42+03:00</dcterms:created>
  <dcterms:modified xsi:type="dcterms:W3CDTF">2026-01-22T13:01:42+03:00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