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</w:pPr>
      <w:r>
        <w:rPr>
          <w:b/>
          <w:bCs/>
        </w:rPr>
        <w:t xml:space="preserve">Протокол подведения итогов определения поставщика (подрядчика, исполнителя) № 0132600032725001368</w:t>
      </w:r>
      <w:r/>
    </w:p>
    <w:p>
      <w:r/>
      <w:r/>
    </w:p>
    <w:p>
      <w:pPr>
        <w:jc w:val="right"/>
      </w:pPr>
      <w:r>
        <w:rPr>
          <w:b w:val="0"/>
          <w:bCs w:val="0"/>
        </w:rPr>
        <w:t xml:space="preserve">Дата подведения итогов определения поставщика (подрядчика, исполнителя): 23.01.2026г.</w:t>
      </w:r>
      <w:r/>
    </w:p>
    <w:p>
      <w:r/>
      <w:r/>
    </w:p>
    <w:p>
      <w:pPr>
        <w:numPr>
          <w:ilvl w:val="0"/>
          <w:numId w:val="1"/>
        </w:numPr>
        <w:jc w:val="both"/>
        <w:keepLines/>
        <w:spacing w:after="96"/>
      </w:pPr>
      <w:r>
        <w:t xml:space="preserve">Способ определения поставщика (подрядчика, исполнителя): Открытый конкурс в электронной форме</w:t>
      </w:r>
      <w:r/>
    </w:p>
    <w:p>
      <w:pPr>
        <w:numPr>
          <w:ilvl w:val="0"/>
          <w:numId w:val="1"/>
        </w:numPr>
        <w:keepLines/>
        <w:spacing w:after="96"/>
      </w:pPr>
      <w:r>
        <w:t xml:space="preserve">Номер извещения об осуществлении закупки: 0132600032725001368</w:t>
      </w:r>
      <w:r/>
    </w:p>
    <w:p>
      <w:pPr>
        <w:numPr>
          <w:ilvl w:val="0"/>
          <w:numId w:val="1"/>
        </w:numPr>
        <w:keepLines/>
        <w:spacing w:after="96"/>
      </w:pPr>
      <w:r>
        <w:t xml:space="preserve">Определение поставщика (подрядчика, исполнителя) осуществляет:</w:t>
      </w:r>
      <w:r/>
    </w:p>
    <w:p>
      <w:pPr>
        <w:jc w:val="both"/>
      </w:pPr>
      <w:r>
        <w:t xml:space="preserve">Департамент экономического развития и инвестиций администрации города Нижнего Новгорода</w:t>
      </w:r>
      <w:r/>
    </w:p>
    <w:p>
      <w:r/>
      <w:r/>
    </w:p>
    <w:p>
      <w:pPr>
        <w:numPr>
          <w:ilvl w:val="0"/>
          <w:numId w:val="1"/>
        </w:numPr>
        <w:jc w:val="both"/>
        <w:keepLines/>
        <w:spacing w:after="96"/>
      </w:pPr>
      <w:r>
        <w:t xml:space="preserve">Заказчик(и):</w:t>
      </w:r>
      <w:r/>
    </w:p>
    <w:p>
      <w:pPr>
        <w:jc w:val="both"/>
      </w:pPr>
      <w:r>
        <w:t xml:space="preserve">АДМИНИСТРАЦИЯ АВТОЗАВОДСКОГО РАЙОНА ГОРОДА НИЖНЕГО НОВГОРОДА</w:t>
      </w:r>
      <w:r/>
    </w:p>
    <w:p>
      <w:r/>
      <w:r/>
    </w:p>
    <w:p>
      <w:pPr>
        <w:numPr>
          <w:ilvl w:val="0"/>
          <w:numId w:val="1"/>
        </w:numPr>
        <w:keepLines/>
        <w:spacing w:after="96"/>
      </w:pPr>
      <w:r>
        <w:t xml:space="preserve">Идентификационный код закупки: 253525600867152560100103010010000244</w:t>
      </w:r>
      <w:r/>
    </w:p>
    <w:p>
      <w:pPr>
        <w:numPr>
          <w:ilvl w:val="0"/>
          <w:numId w:val="1"/>
        </w:numPr>
        <w:jc w:val="both"/>
        <w:keepLines/>
        <w:spacing w:after="96"/>
      </w:pPr>
      <w:r>
        <w:t xml:space="preserve">Наименование объекта закупки: Выполнение работ по комплексному благоустройству общественной территории: «Парк им. 777-летия города Нижнего Новгорода» в Автозаводском районе города Нижнего Новгорода (2-я очередь)</w:t>
      </w:r>
      <w:r/>
    </w:p>
    <w:p>
      <w:pPr>
        <w:numPr>
          <w:ilvl w:val="0"/>
          <w:numId w:val="1"/>
        </w:numPr>
        <w:keepLines/>
        <w:spacing w:after="96"/>
      </w:pPr>
      <w:r>
        <w:t xml:space="preserve">Начальная (максимальная) цена контракта: 198 675 377,62 руб.</w:t>
      </w:r>
      <w:r/>
    </w:p>
    <w:p>
      <w:pPr>
        <w:numPr>
          <w:ilvl w:val="0"/>
          <w:numId w:val="1"/>
        </w:numPr>
        <w:jc w:val="both"/>
        <w:keepLines/>
        <w:spacing w:after="96"/>
      </w:pPr>
      <w:r>
        <w:t xml:space="preserve">Извещение об осуществлении закупки размещено «30» декабря 2025г. на официальном сайте единой информационной системы в сфере закупок http://zakupki.gov.ru/, а также на сайте электронной площадки АО «ЕЭТП» http://roseltorg.ru.</w:t>
      </w:r>
      <w:r/>
    </w:p>
    <w:p>
      <w:pPr>
        <w:numPr>
          <w:ilvl w:val="0"/>
          <w:numId w:val="1"/>
        </w:numPr>
        <w:keepLines/>
        <w:spacing w:after="96"/>
      </w:pPr>
      <w:r>
        <w:t xml:space="preserve">На заседании комиссии по осуществлению закупок присутствовали:</w:t>
      </w:r>
      <w:r/>
    </w:p>
    <w:tbl>
      <w:tblPr>
        <w:tblStyle w:val="623"/>
        <w:tblLook w:val="04A0" w:firstRow="1" w:lastRow="0" w:firstColumn="1" w:lastColumn="0" w:noHBand="0" w:noVBand="1"/>
      </w:tblPr>
      <w:tblGrid>
        <w:gridCol w:w="6000"/>
        <w:gridCol w:w="3050"/>
        <w:gridCol w:w="1500"/>
      </w:tblGrid>
      <w:tr>
        <w:tblPrEx/>
        <w:trPr/>
        <w:tc>
          <w:tcPr>
            <w:tcW w:w="60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Состав комиссии по осуществлению закупок</w:t>
            </w:r>
            <w:r/>
          </w:p>
        </w:tc>
        <w:tc>
          <w:tcPr>
            <w:tcW w:w="3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Роль</w:t>
            </w:r>
            <w:r/>
          </w:p>
        </w:tc>
        <w:tc>
          <w:tcPr>
            <w:tcW w:w="15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Право голоса</w:t>
            </w:r>
            <w:r/>
          </w:p>
        </w:tc>
      </w:tr>
      <w:tr>
        <w:tblPrEx/>
        <w:trPr/>
        <w:tc>
          <w:tcPr>
            <w:tcW w:w="60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Зиновьев Артем Владимирович</w:t>
            </w:r>
            <w:r/>
          </w:p>
        </w:tc>
        <w:tc>
          <w:tcPr>
            <w:tcW w:w="3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Председатель комиссии</w:t>
            </w:r>
            <w:r/>
          </w:p>
        </w:tc>
        <w:tc>
          <w:tcPr>
            <w:tcW w:w="15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</w:t>
            </w:r>
            <w:r/>
          </w:p>
        </w:tc>
      </w:tr>
      <w:tr>
        <w:tblPrEx/>
        <w:trPr/>
        <w:tc>
          <w:tcPr>
            <w:tcW w:w="600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Костромина Елена Вениаминовна</w:t>
            </w:r>
            <w:r/>
            <w:r/>
          </w:p>
        </w:tc>
        <w:tc>
          <w:tcPr>
            <w:tcW w:w="30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Зам. председателя комиссии</w:t>
            </w:r>
            <w:r/>
            <w:r/>
          </w:p>
        </w:tc>
        <w:tc>
          <w:tcPr>
            <w:tcW w:w="150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Да</w:t>
            </w:r>
            <w:r/>
            <w:r/>
          </w:p>
        </w:tc>
      </w:tr>
      <w:tr>
        <w:tblPrEx/>
        <w:trPr/>
        <w:tc>
          <w:tcPr>
            <w:tcW w:w="60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Балакина Ирина Геннадьевна</w:t>
            </w:r>
            <w:r/>
          </w:p>
        </w:tc>
        <w:tc>
          <w:tcPr>
            <w:tcW w:w="3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Член комиссии</w:t>
            </w:r>
            <w:r/>
          </w:p>
        </w:tc>
        <w:tc>
          <w:tcPr>
            <w:tcW w:w="15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</w:t>
            </w:r>
            <w:r/>
          </w:p>
        </w:tc>
      </w:tr>
      <w:tr>
        <w:tblPrEx/>
        <w:trPr/>
        <w:tc>
          <w:tcPr>
            <w:tcW w:w="60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Масюкова Юлия Николаевна</w:t>
            </w:r>
            <w:r/>
          </w:p>
        </w:tc>
        <w:tc>
          <w:tcPr>
            <w:tcW w:w="3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Член комиссии</w:t>
            </w:r>
            <w:r/>
          </w:p>
        </w:tc>
        <w:tc>
          <w:tcPr>
            <w:tcW w:w="15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</w:t>
            </w:r>
            <w:r/>
          </w:p>
        </w:tc>
      </w:tr>
      <w:tr>
        <w:tblPrEx/>
        <w:trPr/>
        <w:tc>
          <w:tcPr>
            <w:tcW w:w="60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Шкляева Екатерина Сергеевна</w:t>
            </w:r>
            <w:r/>
          </w:p>
        </w:tc>
        <w:tc>
          <w:tcPr>
            <w:tcW w:w="3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Секретарь комиссии</w:t>
            </w:r>
            <w:r/>
          </w:p>
        </w:tc>
        <w:tc>
          <w:tcPr>
            <w:tcW w:w="15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Да</w:t>
            </w:r>
            <w:r/>
          </w:p>
        </w:tc>
      </w:tr>
    </w:tbl>
    <w:p>
      <w:r/>
      <w:r/>
    </w:p>
    <w:p>
      <w:r>
        <w:t xml:space="preserve">Комиссия правомочна осуществлять свои функции, в заседании комиссии участвовало не менее чем пятьдесят процентов общего числа ее членов.</w:t>
      </w:r>
      <w:r/>
    </w:p>
    <w:p>
      <w:r/>
      <w:r/>
    </w:p>
    <w:p>
      <w:pPr>
        <w:numPr>
          <w:ilvl w:val="0"/>
          <w:numId w:val="1"/>
        </w:numPr>
        <w:jc w:val="both"/>
        <w:keepLines/>
        <w:spacing w:after="96"/>
      </w:pPr>
      <w:r>
        <w:t xml:space="preserve">Члены комиссии по осуществлению закупок рассмотрели вторые части заявок </w:t>
      </w:r>
      <w:r>
        <w:t xml:space="preserve">на участие в закупке, а также информацию и документы, направленные оператором электронной площадки в соответствии с пунктом 2 части 10 статьи 48 Федерального закона от 05 апреля 2013 г. № 44-ФЗ (далее - Закон № 44-ФЗ) и приняли решение, осуществили оценку:</w:t>
      </w:r>
      <w:r/>
    </w:p>
    <w:tbl>
      <w:tblPr>
        <w:tblStyle w:val="624"/>
        <w:tblLook w:val="04A0" w:firstRow="1" w:lastRow="0" w:firstColumn="1" w:lastColumn="0" w:noHBand="0" w:noVBand="1"/>
      </w:tblPr>
      <w:tblGrid>
        <w:gridCol w:w="1550"/>
        <w:gridCol w:w="2100"/>
        <w:gridCol w:w="1600"/>
        <w:gridCol w:w="2100"/>
        <w:gridCol w:w="1600"/>
        <w:gridCol w:w="1600"/>
      </w:tblGrid>
      <w:tr>
        <w:tblPrEx/>
        <w:trPr/>
        <w:tc>
          <w:tcPr>
            <w:tcW w:w="15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Идентификационный номер заявки, присвоенный оператором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Решение о признании второй части заявки соответствующей извещению об осуществлении закупки или об отклонении (с обоснованием) второй части заявки на участие в закупке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Члены комиссии по осуществлению закупок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Решение о признании второй части заявки соответствующей извещению об осуществлении закупки или об отклонении второй части заявки на участие в закупке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Оценка второй части заявки, по критерию предусмотренному п. 4 ч. 1. ст. 32 Закона № 44-ФЗ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Итоговая оценка второй части заявки, по критерию предусмотренному п. 4 ч. 1. ст. 32 Закона № 44-ФЗ</w:t>
            </w:r>
            <w:r/>
          </w:p>
        </w:tc>
      </w:tr>
      <w:tr>
        <w:tblPrEx/>
        <w:trPr/>
        <w:tc>
          <w:tcPr>
            <w:tcW w:w="15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2750031</w:t>
            </w:r>
            <w:r/>
          </w:p>
        </w:tc>
        <w:tc>
          <w:tcPr>
            <w:tcW w:w="210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Зиновьев Артем Владимирович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40.00</w:t>
            </w:r>
            <w:r/>
          </w:p>
        </w:tc>
        <w:tc>
          <w:tcPr>
            <w:tcW w:w="160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40</w:t>
            </w:r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Балакина Ирина Геннадьевна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40.00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Масюкова Юлия Николаевна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40.00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Шкляева Екатерина Сергеевна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40.00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15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2756883</w:t>
            </w:r>
            <w:r/>
          </w:p>
        </w:tc>
        <w:tc>
          <w:tcPr>
            <w:tcW w:w="210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Зиновьев Артем Владимирович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3.04</w:t>
            </w:r>
            <w:r/>
          </w:p>
        </w:tc>
        <w:tc>
          <w:tcPr>
            <w:tcW w:w="160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3.04</w:t>
            </w:r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Балакина Ирина Геннадьевна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3.04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Масюкова Юлия Николаевна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3.04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Шкляева Екатерина Сергеевна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3.04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15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2759238</w:t>
            </w:r>
            <w:r/>
          </w:p>
        </w:tc>
        <w:tc>
          <w:tcPr>
            <w:tcW w:w="210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Зиновьев Артем Владимирович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10.75</w:t>
            </w:r>
            <w:r/>
          </w:p>
        </w:tc>
        <w:tc>
          <w:tcPr>
            <w:tcW w:w="160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10.75</w:t>
            </w:r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Балакина Ирина Геннадьевна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10.75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Масюкова Юлия Николаевна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10.75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Шкляева Екатерина Сергеевна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10.75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15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2759281</w:t>
            </w:r>
            <w:r/>
          </w:p>
        </w:tc>
        <w:tc>
          <w:tcPr>
            <w:tcW w:w="210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Зиновьев Артем Владимирович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0.00</w:t>
            </w:r>
            <w:r/>
          </w:p>
        </w:tc>
        <w:tc>
          <w:tcPr>
            <w:tcW w:w="160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0</w:t>
            </w:r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Балакина Ирина Геннадьевна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0.00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Масюкова Юлия Николаевна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0.00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Шкляева Екатерина Сергеевна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0.00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15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2760096</w:t>
            </w:r>
            <w:r/>
          </w:p>
        </w:tc>
        <w:tc>
          <w:tcPr>
            <w:tcW w:w="210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Зиновьев Артем Владимирович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5.50</w:t>
            </w:r>
            <w:r/>
          </w:p>
        </w:tc>
        <w:tc>
          <w:tcPr>
            <w:tcW w:w="160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5.5</w:t>
            </w:r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Балакина Ирина Геннадьевна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5.50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Масюкова Юлия Николаевна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5.50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Шкляева Екатерина Сергеевна</w:t>
            </w:r>
            <w:r/>
          </w:p>
        </w:tc>
        <w:tc>
          <w:tcPr>
            <w:tcW w:w="21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5.50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</w:tbl>
    <w:p>
      <w:r/>
      <w:r/>
    </w:p>
    <w:p>
      <w:pPr>
        <w:numPr>
          <w:ilvl w:val="0"/>
          <w:numId w:val="1"/>
        </w:numPr>
        <w:jc w:val="both"/>
        <w:keepLines/>
        <w:spacing w:after="96"/>
      </w:pPr>
      <w:r>
        <w:t xml:space="preserve">На основании полученной информации и документов в соответствии с п. 1 ч. 14 ст. 48 Закона № 44-ФЗ члены комиссии по осуществлению закупок провели оценку ценовых предложений о цене контракта:</w:t>
      </w:r>
      <w:r/>
    </w:p>
    <w:tbl>
      <w:tblPr>
        <w:tblStyle w:val="625"/>
        <w:tblLook w:val="04A0" w:firstRow="1" w:lastRow="0" w:firstColumn="1" w:lastColumn="0" w:noHBand="0" w:noVBand="1"/>
      </w:tblPr>
      <w:tblGrid>
        <w:gridCol w:w="1050"/>
        <w:gridCol w:w="1050"/>
        <w:gridCol w:w="1050"/>
        <w:gridCol w:w="1050"/>
        <w:gridCol w:w="1600"/>
        <w:gridCol w:w="1600"/>
        <w:gridCol w:w="1600"/>
        <w:gridCol w:w="1550"/>
      </w:tblGrid>
      <w:tr>
        <w:tblPrEx/>
        <w:trPr/>
        <w:tc>
          <w:tcPr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Идентификационный номер заявки, присвоенный оператором</w:t>
            </w:r>
            <w:r/>
          </w:p>
        </w:tc>
        <w:tc>
          <w:tcPr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Ценовое предложение, руб.</w:t>
            </w:r>
            <w:r/>
          </w:p>
        </w:tc>
        <w:tc>
          <w:tcPr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Время подачи ценового предложения</w:t>
            </w:r>
            <w:r/>
          </w:p>
        </w:tc>
        <w:tc>
          <w:tcPr>
            <w:tcW w:w="10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Решение о соответствии извещению об осуществлении закупки или решение об отклонении/отстранении( обоснованием) заявки на участие в закупке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Члены комиссии по осуществлению закупок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Решение члена комиссии по осуществлению закупок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Значение по критерию, предусмотренному п. 1 ч. 1. ст. 32 Закона № 44-ФЗ каждого члена комиссии по осуществлению закупок</w:t>
            </w:r>
            <w:r/>
          </w:p>
        </w:tc>
        <w:tc>
          <w:tcPr>
            <w:tcW w:w="155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Значение по критерию, предусмотренному п. 1 ч. 1. ст. 32 Закона № 44-ФЗ</w:t>
            </w:r>
            <w:r/>
          </w:p>
        </w:tc>
      </w:tr>
      <w:tr>
        <w:tblPrEx/>
        <w:trPr/>
        <w:tc>
          <w:tcPr>
            <w:tcW w:w="10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2759281</w:t>
            </w:r>
            <w:r/>
          </w:p>
        </w:tc>
        <w:tc>
          <w:tcPr>
            <w:tcW w:w="10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177 814 462,97 руб.</w:t>
            </w:r>
            <w:r/>
          </w:p>
        </w:tc>
        <w:tc>
          <w:tcPr>
            <w:tcW w:w="10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19.01.2026 20:12:15 (MCK +0)</w:t>
            </w:r>
            <w:r/>
          </w:p>
        </w:tc>
        <w:tc>
          <w:tcPr>
            <w:tcW w:w="10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Зиновьев Артем Владимирович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60.00</w:t>
            </w:r>
            <w:r/>
          </w:p>
        </w:tc>
        <w:tc>
          <w:tcPr>
            <w:tcW w:w="15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60.00</w:t>
            </w:r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Костромина Елена Вениаминовна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60.00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Балакина Ирина Геннадьевна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60.00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Масюкова Юлия Николаевна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60.00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Шкляева Екатерина Сергеевна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60.00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10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2756883</w:t>
            </w:r>
            <w:r/>
          </w:p>
        </w:tc>
        <w:tc>
          <w:tcPr>
            <w:tcW w:w="10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197 015 000,00 руб.</w:t>
            </w:r>
            <w:r/>
          </w:p>
        </w:tc>
        <w:tc>
          <w:tcPr>
            <w:tcW w:w="10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19.01.2026 12:47:30 (MCK +0)</w:t>
            </w:r>
            <w:r/>
          </w:p>
        </w:tc>
        <w:tc>
          <w:tcPr>
            <w:tcW w:w="10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Зиновьев Артем Владимирович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53.52</w:t>
            </w:r>
            <w:r/>
          </w:p>
        </w:tc>
        <w:tc>
          <w:tcPr>
            <w:tcW w:w="15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53.52</w:t>
            </w:r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Костромина Елена Вениаминовна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53.52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Балакина Ирина Геннадьевна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53.52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Масюкова Юлия Николаевна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53.52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Шкляева Екатерина Сергеевна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53.52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10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2750031</w:t>
            </w:r>
            <w:r/>
          </w:p>
        </w:tc>
        <w:tc>
          <w:tcPr>
            <w:tcW w:w="10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198 675 377,00 руб.</w:t>
            </w:r>
            <w:r/>
          </w:p>
        </w:tc>
        <w:tc>
          <w:tcPr>
            <w:tcW w:w="10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16.01.2026 19:02:45 (MCK +0)</w:t>
            </w:r>
            <w:r/>
          </w:p>
        </w:tc>
        <w:tc>
          <w:tcPr>
            <w:tcW w:w="10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Зиновьев Артем Владимирович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52.96</w:t>
            </w:r>
            <w:r/>
          </w:p>
        </w:tc>
        <w:tc>
          <w:tcPr>
            <w:tcW w:w="15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52.96</w:t>
            </w:r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Костромина Елена Вениаминовна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52.96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Балакина Ирина Геннадьевна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52.96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Масюкова Юлия Николаевна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52.96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Шкляева Екатерина Сергеевна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52.96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10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2759238</w:t>
            </w:r>
            <w:r/>
          </w:p>
        </w:tc>
        <w:tc>
          <w:tcPr>
            <w:tcW w:w="10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198 675 377,62 руб.</w:t>
            </w:r>
            <w:r/>
          </w:p>
        </w:tc>
        <w:tc>
          <w:tcPr>
            <w:tcW w:w="10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19.01.2026 16:54:53 (MCK +0)</w:t>
            </w:r>
            <w:r/>
          </w:p>
        </w:tc>
        <w:tc>
          <w:tcPr>
            <w:tcW w:w="10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Зиновьев Артем Владимирович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52.96</w:t>
            </w:r>
            <w:r/>
          </w:p>
        </w:tc>
        <w:tc>
          <w:tcPr>
            <w:tcW w:w="15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52.96</w:t>
            </w:r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Костромина Елена Вениаминовна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52.96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Балакина Ирина Геннадьевна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52.96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Масюкова Юлия Николаевна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52.96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Шкляева Екатерина Сергеевна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52.96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10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2760096</w:t>
            </w:r>
            <w:r/>
          </w:p>
        </w:tc>
        <w:tc>
          <w:tcPr>
            <w:tcW w:w="10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198 675 377,62 руб.</w:t>
            </w:r>
            <w:r/>
          </w:p>
        </w:tc>
        <w:tc>
          <w:tcPr>
            <w:tcW w:w="10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19.01.2026 21:04:55 (MCK +0)</w:t>
            </w:r>
            <w:r/>
          </w:p>
        </w:tc>
        <w:tc>
          <w:tcPr>
            <w:tcW w:w="10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Зиновьев Артем Владимирович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52.96</w:t>
            </w:r>
            <w:r/>
          </w:p>
        </w:tc>
        <w:tc>
          <w:tcPr>
            <w:tcW w:w="15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52.96</w:t>
            </w:r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Костромина Елена Вениаминовна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52.96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Балакина Ирина Геннадьевна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52.96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Масюкова Юлия Николаевна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52.96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Шкляева Екатерина Сергеевна</w:t>
            </w:r>
            <w:r/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Признать заявку соответствующей извещению об осуществлении закупки. </w:t>
            </w:r>
            <w:r/>
          </w:p>
        </w:tc>
        <w:tc>
          <w:tcPr>
            <w:tcW w:w="16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52.96</w:t>
            </w:r>
            <w:r/>
          </w:p>
        </w:tc>
        <w:tc>
          <w:tcPr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</w:tbl>
    <w:p>
      <w:pPr>
        <w:numPr>
          <w:ilvl w:val="0"/>
          <w:numId w:val="1"/>
        </w:numPr>
        <w:jc w:val="both"/>
        <w:keepLines/>
        <w:spacing w:after="96"/>
      </w:pPr>
      <w:r>
        <w:t xml:space="preserve">На основании полученной информации и документов в соответствии с п. 1 ч. 14 ст. 48 Закона № 44-ФЗ члены комиссии по осуществлению закупок осуществили оценку ценовых предложений о цене контракта:</w:t>
      </w:r>
      <w:r/>
    </w:p>
    <w:p>
      <w:r/>
      <w:r/>
    </w:p>
    <w:tbl>
      <w:tblPr>
        <w:tblStyle w:val="626"/>
        <w:tblW w:w="0" w:type="auto"/>
        <w:tblLook w:val="04A0" w:firstRow="1" w:lastRow="0" w:firstColumn="1" w:lastColumn="0" w:noHBand="0" w:noVBand="1"/>
      </w:tblPr>
      <w:tblGrid>
        <w:gridCol w:w="2019"/>
        <w:gridCol w:w="1277"/>
        <w:gridCol w:w="1768"/>
        <w:gridCol w:w="1768"/>
        <w:gridCol w:w="1768"/>
        <w:gridCol w:w="1768"/>
      </w:tblGrid>
      <w:tr>
        <w:tblPrEx/>
        <w:trPr>
          <w:trHeight w:val="691"/>
        </w:trPr>
        <w:tc>
          <w:tcPr>
            <w:tcW w:w="201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Идентификационный номер заявки, присвоенный оператором</w:t>
            </w:r>
            <w:r/>
          </w:p>
        </w:tc>
        <w:tc>
          <w:tcPr>
            <w:tcW w:w="127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Порядковый номер заявки, присвоенный комиссией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Оценка второй части заявки по критерию, установленному п. 4 ч. 1. ст. 32 Закона № 44-ФЗ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Оценка по критерию, установленному п. 1 ч. 1. ст. 32 Закона № 44-ФЗ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Итоговая оценка, по всем  критериям предусмотренным в протоколе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Ценовое предложение, руб.</w:t>
            </w:r>
            <w:r/>
          </w:p>
        </w:tc>
      </w:tr>
      <w:tr>
        <w:tblPrEx/>
        <w:trPr>
          <w:trHeight w:val="253"/>
        </w:trPr>
        <w:tc>
          <w:tcPr>
            <w:tcW w:w="201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№2750031</w:t>
            </w:r>
            <w:r/>
          </w:p>
        </w:tc>
        <w:tc>
          <w:tcPr>
            <w:tcW w:w="127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40.00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52.96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92.96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198 675 377,00 руб.</w:t>
            </w:r>
            <w:r/>
          </w:p>
        </w:tc>
      </w:tr>
      <w:tr>
        <w:tblPrEx/>
        <w:trPr>
          <w:trHeight w:val="253"/>
        </w:trPr>
        <w:tc>
          <w:tcPr>
            <w:tcW w:w="201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№2759238</w:t>
            </w:r>
            <w:r/>
          </w:p>
        </w:tc>
        <w:tc>
          <w:tcPr>
            <w:tcW w:w="127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2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10.75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52.96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63.71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198 675 377,62 руб.</w:t>
            </w:r>
            <w:r/>
          </w:p>
        </w:tc>
      </w:tr>
      <w:tr>
        <w:tblPrEx/>
        <w:trPr>
          <w:trHeight w:val="253"/>
        </w:trPr>
        <w:tc>
          <w:tcPr>
            <w:tcW w:w="201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№2759281</w:t>
            </w:r>
            <w:r/>
          </w:p>
        </w:tc>
        <w:tc>
          <w:tcPr>
            <w:tcW w:w="127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0.00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60.00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60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177 814 462,97 руб.</w:t>
            </w:r>
            <w:r/>
          </w:p>
        </w:tc>
      </w:tr>
      <w:tr>
        <w:tblPrEx/>
        <w:trPr>
          <w:trHeight w:val="253"/>
        </w:trPr>
        <w:tc>
          <w:tcPr>
            <w:tcW w:w="201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№2760096</w:t>
            </w:r>
            <w:r/>
          </w:p>
        </w:tc>
        <w:tc>
          <w:tcPr>
            <w:tcW w:w="127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4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5.50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52.96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58.46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198 675 377,62 руб.</w:t>
            </w:r>
            <w:r/>
          </w:p>
        </w:tc>
      </w:tr>
      <w:tr>
        <w:tblPrEx/>
        <w:trPr>
          <w:trHeight w:val="253"/>
        </w:trPr>
        <w:tc>
          <w:tcPr>
            <w:tcW w:w="2019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№2756883</w:t>
            </w:r>
            <w:r/>
          </w:p>
        </w:tc>
        <w:tc>
          <w:tcPr>
            <w:tcW w:w="127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3.04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53.52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56.56</w:t>
            </w:r>
            <w:r/>
          </w:p>
        </w:tc>
        <w:tc>
          <w:tcPr>
            <w:tcW w:w="176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197 015 000,00 руб.</w:t>
            </w:r>
            <w:r/>
          </w:p>
        </w:tc>
      </w:tr>
    </w:tbl>
    <w:p>
      <w:r/>
      <w:r/>
    </w:p>
    <w:p>
      <w:pPr>
        <w:numPr>
          <w:ilvl w:val="0"/>
          <w:numId w:val="1"/>
        </w:numPr>
        <w:jc w:val="both"/>
        <w:keepLines/>
        <w:spacing w:after="96"/>
      </w:pPr>
      <w:r>
        <w:t xml:space="preserve">По результатам подведения итогов определения поставщика (подрядчика, исполнителя) </w:t>
      </w:r>
      <w:r>
        <w:t xml:space="preserve">победителем электронного конкурса признается участник закупки с идентификационным номером № 2750031, предложивший цену контракта 198 675 377,00 руб. руб. (Сто девяносто восемь миллионов шестьсот семьдесят пять тысяч триста семьдесят семь рублей 00 копеек).</w:t>
      </w:r>
      <w:r/>
    </w:p>
    <w:p>
      <w:pPr>
        <w:numPr>
          <w:ilvl w:val="0"/>
          <w:numId w:val="1"/>
        </w:numPr>
        <w:jc w:val="both"/>
        <w:keepLines/>
        <w:spacing w:after="96"/>
      </w:pPr>
      <w:r>
        <w:t xml:space="preserve">Настоящий протокол подведения итогов сформирован заказчиком с использованием электронной площадки, подписан усиленной электронной подписью лица, имеющего право действовать от имени заказчика и направлен оператору электронной п</w:t>
      </w:r>
      <w:r>
        <w:t xml:space="preserve">лощадки. Протокол будет размещен на сайте Единой электронной торговой площадки (АО «ЕЭТП») по адресу в сети «Интернет»: https://roseltorg.ru и на сайте Единой информационной системы в сфере закупок (ЕИС) по адресу в сети «Интернет»: https://zakupki.gov.ru.</w:t>
      </w:r>
      <w:r/>
    </w:p>
    <w:sectPr>
      <w:footnotePr/>
      <w:endnotePr/>
      <w:type w:val="nextPage"/>
      <w:pgSz w:w="11905" w:h="16837" w:orient="portrait"/>
      <w:pgMar w:top="566" w:right="566" w:bottom="566" w:left="85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Liberation Serif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92" w:hanging="792"/>
        <w:tabs>
          <w:tab w:val="num" w:pos="432" w:leader="none"/>
        </w:tabs>
      </w:p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Liberation Serif" w:cs="Liberation Serif"/>
        <w:sz w:val="18"/>
        <w:szCs w:val="18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0"/>
    <w:next w:val="62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0"/>
    <w:next w:val="62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0"/>
    <w:next w:val="620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0"/>
    <w:next w:val="62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0"/>
    <w:next w:val="62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0"/>
    <w:next w:val="62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0"/>
    <w:next w:val="62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0"/>
    <w:next w:val="62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0"/>
    <w:next w:val="62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0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0"/>
    <w:next w:val="62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20"/>
    <w:next w:val="62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20"/>
    <w:next w:val="62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0"/>
    <w:next w:val="62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0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2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20"/>
    <w:next w:val="62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paragraph" w:styleId="179">
    <w:name w:val="endnote text"/>
    <w:basedOn w:val="62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pPr>
      <w:spacing w:after="0" w:line="240" w:lineRule="auto"/>
    </w:pPr>
  </w:style>
  <w:style w:type="character" w:styleId="621">
    <w:name w:val="footnote reference"/>
    <w:semiHidden/>
    <w:unhideWhenUsed/>
    <w:rPr>
      <w:vertAlign w:val="superscript"/>
    </w:rPr>
  </w:style>
  <w:style w:type="paragraph" w:styleId="622" w:customStyle="1">
    <w:name w:val="P-Style"/>
    <w:basedOn w:val="620"/>
    <w:pPr>
      <w:jc w:val="both"/>
      <w:keepLines/>
      <w:spacing w:after="96"/>
    </w:pPr>
  </w:style>
  <w:style w:type="table" w:styleId="623" w:customStyle="1">
    <w:name w:val="style32664"/>
    <w:uiPriority w:val="99"/>
    <w:tblPr>
      <w:tblW w:w="0" w:type="auto"/>
      <w:tblBorders>
        <w:top w:val="single" w:color="000000" w:sz="1" w:space="0"/>
        <w:left w:val="single" w:color="000000" w:sz="1" w:space="0"/>
        <w:bottom w:val="single" w:color="000000" w:sz="1" w:space="0"/>
        <w:right w:val="single" w:color="000000" w:sz="1" w:space="0"/>
        <w:insideH w:val="single" w:color="000000" w:sz="1" w:space="0"/>
        <w:insideV w:val="single" w:color="000000" w:sz="1" w:space="0"/>
      </w:tblBorders>
      <w:tblLayout w:type="autofit"/>
      <w:tblCellMar>
        <w:left w:w="25" w:type="dxa"/>
        <w:top w:w="25" w:type="dxa"/>
        <w:right w:w="25" w:type="dxa"/>
        <w:bottom w:w="25" w:type="dxa"/>
      </w:tblCellMar>
    </w:tblPr>
  </w:style>
  <w:style w:type="table" w:styleId="624" w:customStyle="1">
    <w:name w:val="style68261"/>
    <w:uiPriority w:val="99"/>
    <w:tblPr>
      <w:tblW w:w="0" w:type="auto"/>
      <w:tblBorders>
        <w:top w:val="single" w:color="000000" w:sz="1" w:space="0"/>
        <w:left w:val="single" w:color="000000" w:sz="1" w:space="0"/>
        <w:bottom w:val="single" w:color="000000" w:sz="1" w:space="0"/>
        <w:right w:val="single" w:color="000000" w:sz="1" w:space="0"/>
        <w:insideH w:val="single" w:color="000000" w:sz="1" w:space="0"/>
        <w:insideV w:val="single" w:color="000000" w:sz="1" w:space="0"/>
      </w:tblBorders>
      <w:tblLayout w:type="autofit"/>
      <w:tblCellMar>
        <w:left w:w="25" w:type="dxa"/>
        <w:top w:w="25" w:type="dxa"/>
        <w:right w:w="25" w:type="dxa"/>
        <w:bottom w:w="25" w:type="dxa"/>
      </w:tblCellMar>
    </w:tblPr>
  </w:style>
  <w:style w:type="table" w:styleId="625" w:customStyle="1">
    <w:name w:val="style3847"/>
    <w:uiPriority w:val="99"/>
    <w:tblPr>
      <w:tblW w:w="0" w:type="auto"/>
      <w:tblBorders>
        <w:top w:val="single" w:color="000000" w:sz="1" w:space="0"/>
        <w:left w:val="single" w:color="000000" w:sz="1" w:space="0"/>
        <w:bottom w:val="single" w:color="000000" w:sz="1" w:space="0"/>
        <w:right w:val="single" w:color="000000" w:sz="1" w:space="0"/>
        <w:insideH w:val="single" w:color="000000" w:sz="1" w:space="0"/>
        <w:insideV w:val="single" w:color="000000" w:sz="1" w:space="0"/>
      </w:tblBorders>
      <w:tblLayout w:type="autofit"/>
      <w:tblCellMar>
        <w:left w:w="25" w:type="dxa"/>
        <w:top w:w="25" w:type="dxa"/>
        <w:right w:w="25" w:type="dxa"/>
        <w:bottom w:w="25" w:type="dxa"/>
      </w:tblCellMar>
    </w:tblPr>
  </w:style>
  <w:style w:type="table" w:styleId="626" w:customStyle="1">
    <w:name w:val="style4525"/>
    <w:uiPriority w:val="99"/>
    <w:tblPr>
      <w:tblW w:w="0" w:type="auto"/>
      <w:tblBorders>
        <w:top w:val="single" w:color="000000" w:sz="1" w:space="0"/>
        <w:left w:val="single" w:color="000000" w:sz="1" w:space="0"/>
        <w:bottom w:val="single" w:color="000000" w:sz="1" w:space="0"/>
        <w:right w:val="single" w:color="000000" w:sz="1" w:space="0"/>
        <w:insideH w:val="single" w:color="000000" w:sz="1" w:space="0"/>
        <w:insideV w:val="single" w:color="000000" w:sz="1" w:space="0"/>
      </w:tblBorders>
      <w:tblLayout w:type="autofit"/>
      <w:tblCellMar>
        <w:left w:w="25" w:type="dxa"/>
        <w:top w:w="25" w:type="dxa"/>
        <w:right w:w="25" w:type="dxa"/>
        <w:bottom w:w="25" w:type="dxa"/>
      </w:tblCellMar>
    </w:tblPr>
  </w:style>
  <w:style w:type="character" w:styleId="4682" w:default="1">
    <w:name w:val="Default Paragraph Font"/>
    <w:uiPriority w:val="1"/>
    <w:semiHidden/>
    <w:unhideWhenUsed/>
  </w:style>
  <w:style w:type="numbering" w:styleId="4683" w:default="1">
    <w:name w:val="No List"/>
    <w:uiPriority w:val="99"/>
    <w:semiHidden/>
    <w:unhideWhenUsed/>
  </w:style>
  <w:style w:type="table" w:styleId="468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shklyaeva</cp:lastModifiedBy>
  <cp:revision>1</cp:revision>
  <dcterms:created xsi:type="dcterms:W3CDTF">2026-01-23T07:38:08Z</dcterms:created>
  <dcterms:modified xsi:type="dcterms:W3CDTF">2026-01-23T07:42:13Z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