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15"/>
        <w:jc w:val="right"/>
        <w:spacing w:after="0" w:line="240" w:lineRule="auto"/>
        <w:tabs>
          <w:tab w:val="left" w:pos="426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right="-115"/>
        <w:jc w:val="right"/>
        <w:spacing w:after="0" w:line="240" w:lineRule="auto"/>
        <w:tabs>
          <w:tab w:val="left" w:pos="426" w:leader="none"/>
        </w:tabs>
      </w:pPr>
      <w:r>
        <w:rPr>
          <w:rFonts w:ascii="Times New Roman" w:hAnsi="Times New Roman"/>
        </w:rPr>
        <w:t xml:space="preserve">к Извещению об открытом аукционе в электронной форме</w:t>
      </w:r>
      <w:r/>
    </w:p>
    <w:p>
      <w:pPr>
        <w:ind w:right="-115"/>
        <w:jc w:val="center"/>
        <w:spacing w:before="60" w:after="60" w:line="240" w:lineRule="auto"/>
        <w:tabs>
          <w:tab w:val="left" w:pos="426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right="-115"/>
        <w:jc w:val="center"/>
        <w:spacing w:before="60" w:after="60" w:line="240" w:lineRule="auto"/>
        <w:tabs>
          <w:tab w:val="left" w:pos="426" w:leader="none"/>
        </w:tabs>
        <w:rPr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Описание объекта закупки.</w:t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ind w:right="-115"/>
        <w:jc w:val="center"/>
        <w:spacing w:before="60" w:after="60" w:line="240" w:lineRule="auto"/>
        <w:tabs>
          <w:tab w:val="left" w:pos="426" w:leader="none"/>
        </w:tabs>
        <w:rPr>
          <w:rFonts w:ascii="Times New Roman" w:hAnsi="Times New Roman"/>
          <w:b w:val="0"/>
          <w:bCs w:val="0"/>
          <w:i/>
          <w:iCs/>
          <w:color w:val="000000"/>
          <w:sz w:val="24"/>
          <w:szCs w:val="24"/>
          <w14:ligatures w14:val="none"/>
        </w:rPr>
      </w:pPr>
      <w:r>
        <w:rPr>
          <w:b/>
          <w:bCs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4"/>
          <w:szCs w:val="24"/>
          <w:highlight w:val="none"/>
        </w:rPr>
        <w:t xml:space="preserve">ИКЗ </w:t>
      </w:r>
      <w:r>
        <w:rPr>
          <w:rFonts w:ascii="Segoe UI" w:hAnsi="Segoe UI" w:eastAsia="Segoe UI" w:cs="Segoe UI"/>
          <w:color w:val="333333"/>
          <w:sz w:val="18"/>
          <w:highlight w:val="none"/>
        </w:rPr>
        <w:t xml:space="preserve"> </w:t>
      </w:r>
      <w:r>
        <w:rPr>
          <w:rFonts w:ascii="Times New Roman" w:hAnsi="Times New Roman"/>
          <w:b w:val="0"/>
          <w:bCs w:val="0"/>
          <w:i/>
          <w:iCs/>
          <w:color w:val="000000"/>
          <w:sz w:val="24"/>
          <w:szCs w:val="24"/>
        </w:rPr>
        <w:t xml:space="preserve">263525600867152560100100980023320244</w:t>
      </w:r>
      <w:r>
        <w:rPr>
          <w:rFonts w:ascii="Times New Roman" w:hAnsi="Times New Roman"/>
          <w:b w:val="0"/>
          <w:bCs w:val="0"/>
          <w:i/>
          <w:iCs/>
          <w:color w:val="000000"/>
          <w:sz w:val="24"/>
          <w:szCs w:val="24"/>
          <w14:ligatures w14:val="none"/>
        </w:rPr>
      </w:r>
      <w:r>
        <w:rPr>
          <w:rFonts w:ascii="Times New Roman" w:hAnsi="Times New Roman"/>
          <w:b w:val="0"/>
          <w:bCs w:val="0"/>
          <w:i/>
          <w:iCs/>
          <w:color w:val="000000"/>
          <w:sz w:val="24"/>
          <w:szCs w:val="24"/>
          <w14:ligatures w14:val="none"/>
        </w:rPr>
      </w:r>
    </w:p>
    <w:p>
      <w:pPr>
        <w:jc w:val="both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Arial"/>
          <w:b/>
          <w:color w:val="000000"/>
          <w:sz w:val="24"/>
          <w:szCs w:val="24"/>
          <w:lang w:eastAsia="ru-RU"/>
        </w:rPr>
        <w:t xml:space="preserve">1.</w:t>
      </w:r>
      <w:r>
        <w:rPr>
          <w:rFonts w:ascii="Times New Roman" w:hAnsi="Times New Roman" w:eastAsia="Arial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Наименование объекта закупки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eastAsia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Arial"/>
          <w:color w:val="000000"/>
          <w:sz w:val="24"/>
          <w:szCs w:val="24"/>
          <w:lang w:eastAsia="ru-RU"/>
        </w:rPr>
        <w:t xml:space="preserve">Выполнение работ </w:t>
      </w:r>
      <w:r>
        <w:rPr>
          <w:rFonts w:ascii="Times New Roman" w:hAnsi="Times New Roman" w:eastAsia="Arial"/>
          <w:color w:val="000000"/>
          <w:sz w:val="24"/>
          <w:szCs w:val="24"/>
          <w:lang w:eastAsia="ru-RU"/>
        </w:rPr>
        <w:t xml:space="preserve">по комплексному благоустройству общественной территории: «Парк им. 777-летия города Нижнего Новгорода » в Автозаводском районе города Нижнего Новгорода </w:t>
      </w:r>
      <w:r>
        <w:rPr>
          <w:rFonts w:ascii="Times New Roman" w:hAnsi="Times New Roman" w:eastAsia="Arial"/>
          <w:color w:val="000000"/>
          <w:sz w:val="24"/>
          <w:szCs w:val="24"/>
          <w:lang w:eastAsia="ru-RU"/>
        </w:rPr>
        <w:t xml:space="preserve">(2-я очередь)</w:t>
      </w:r>
      <w:r>
        <w:rPr>
          <w:rFonts w:ascii="Times New Roman" w:hAnsi="Times New Roman" w:eastAsia="Arial"/>
          <w:color w:val="000000"/>
          <w:sz w:val="24"/>
          <w:szCs w:val="24"/>
          <w:lang w:eastAsia="ru-RU"/>
        </w:rPr>
        <w:t xml:space="preserve">. Создание системы видеонаблюдения</w:t>
      </w:r>
      <w:r>
        <w:rPr>
          <w:rFonts w:ascii="Times New Roman" w:hAnsi="Times New Roman" w:eastAsia="Arial"/>
          <w:color w:val="000000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Arial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Arial"/>
          <w:color w:val="000000"/>
          <w:sz w:val="24"/>
          <w:szCs w:val="24"/>
          <w:lang w:eastAsia="ru-RU"/>
        </w:rPr>
      </w:r>
    </w:p>
    <w:p>
      <w:pPr>
        <w:pStyle w:val="842"/>
        <w:jc w:val="both"/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Описание объекта закупки: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 xml:space="preserve">2.1.</w:t>
      </w:r>
      <w:r>
        <w:rPr>
          <w:rFonts w:ascii="Times New Roman" w:hAnsi="Times New Roman"/>
          <w:sz w:val="24"/>
          <w:szCs w:val="24"/>
        </w:rPr>
        <w:t xml:space="preserve"> Функциональные, технические и качественные характеристики, эксплуатационные характеристики объекта закупки.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</w:rPr>
        <w:t xml:space="preserve">Работы выполняются в соответствии с Ведомостью </w:t>
      </w:r>
      <w:r>
        <w:rPr>
          <w:rFonts w:ascii="Times New Roman" w:hAnsi="Times New Roman"/>
          <w:sz w:val="24"/>
          <w:szCs w:val="24"/>
        </w:rPr>
        <w:t xml:space="preserve">объёмов работ (Приложение №1 </w:t>
      </w:r>
      <w:r>
        <w:rPr>
          <w:rFonts w:ascii="Times New Roman" w:hAnsi="Times New Roman"/>
          <w:sz w:val="24"/>
          <w:szCs w:val="24"/>
        </w:rPr>
        <w:t xml:space="preserve">к проекту муниципального контракта), Локальным сме</w:t>
      </w:r>
      <w:r>
        <w:rPr>
          <w:rFonts w:ascii="Times New Roman" w:hAnsi="Times New Roman"/>
          <w:sz w:val="24"/>
          <w:szCs w:val="24"/>
        </w:rPr>
        <w:t xml:space="preserve">тным расчетом (Приложение №2 </w:t>
      </w:r>
      <w:r>
        <w:rPr>
          <w:rFonts w:ascii="Times New Roman" w:hAnsi="Times New Roman"/>
          <w:sz w:val="24"/>
          <w:szCs w:val="24"/>
        </w:rPr>
        <w:t xml:space="preserve">к проекту муниципального контракта), Проектом (Приложение №3 к проекту муниципального контракта), </w:t>
      </w:r>
      <w:r>
        <w:rPr>
          <w:rFonts w:ascii="Times New Roman" w:hAnsi="Times New Roman"/>
          <w:sz w:val="24"/>
          <w:szCs w:val="24"/>
        </w:rPr>
        <w:t xml:space="preserve">являющимися неотъемлемой частью проекта муниципального контракта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(Приложение №</w:t>
      </w:r>
      <w:r>
        <w:rPr>
          <w:rFonts w:ascii="Times New Roman" w:hAnsi="Times New Roman"/>
          <w:sz w:val="24"/>
          <w:szCs w:val="24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 к </w:t>
      </w:r>
      <w:r>
        <w:rPr>
          <w:rFonts w:ascii="Times New Roman" w:hAnsi="Times New Roman"/>
          <w:sz w:val="24"/>
          <w:szCs w:val="24"/>
        </w:rPr>
        <w:t xml:space="preserve">извещению</w:t>
      </w:r>
      <w:r>
        <w:rPr>
          <w:rFonts w:ascii="Times New Roman" w:hAnsi="Times New Roman"/>
          <w:sz w:val="24"/>
          <w:szCs w:val="24"/>
        </w:rPr>
        <w:t xml:space="preserve"> об открытом аукционе в электронной форме)</w:t>
      </w:r>
      <w:r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условиями проекта муниципального контракта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</w:rPr>
        <w:t xml:space="preserve">ОКПД 2: 33.20.42</w:t>
      </w:r>
      <w:r>
        <w:rPr>
          <w:rFonts w:ascii="Times New Roman" w:hAnsi="Times New Roman"/>
          <w:sz w:val="24"/>
          <w:szCs w:val="24"/>
          <w:highlight w:val="white"/>
        </w:rPr>
        <w:t xml:space="preserve">.</w:t>
      </w:r>
      <w:r>
        <w:rPr>
          <w:rFonts w:ascii="Times New Roman" w:hAnsi="Times New Roman"/>
          <w:sz w:val="24"/>
          <w:szCs w:val="24"/>
          <w:highlight w:val="white"/>
        </w:rPr>
        <w:t xml:space="preserve">00</w:t>
      </w:r>
      <w:r>
        <w:rPr>
          <w:rFonts w:ascii="Times New Roman" w:hAnsi="Times New Roman"/>
          <w:sz w:val="24"/>
          <w:szCs w:val="24"/>
          <w:highlight w:val="white"/>
        </w:rPr>
        <w:t xml:space="preserve">0 </w:t>
      </w:r>
      <w:r>
        <w:rPr>
          <w:rFonts w:ascii="Times New Roman" w:hAnsi="Times New Roman"/>
          <w:sz w:val="24"/>
          <w:szCs w:val="24"/>
          <w:highlight w:val="white"/>
        </w:rPr>
        <w:t xml:space="preserve"> «</w:t>
      </w:r>
      <w:r>
        <w:rPr>
          <w:rFonts w:ascii="Times New Roman" w:hAnsi="Times New Roman"/>
          <w:sz w:val="24"/>
          <w:szCs w:val="24"/>
          <w:highlight w:val="white"/>
        </w:rPr>
        <w:t xml:space="preserve">Услуги по монтажу профессионального электронного оборудования</w:t>
      </w:r>
      <w:r>
        <w:rPr>
          <w:rFonts w:ascii="Times New Roman" w:hAnsi="Times New Roman"/>
          <w:sz w:val="24"/>
          <w:szCs w:val="24"/>
          <w:highlight w:val="white"/>
        </w:rPr>
        <w:t xml:space="preserve">»</w:t>
      </w:r>
      <w:r>
        <w:rPr>
          <w:rFonts w:ascii="Times New Roman" w:hAnsi="Times New Roman"/>
          <w:sz w:val="24"/>
          <w:szCs w:val="24"/>
          <w:highlight w:val="white"/>
        </w:rPr>
        <w:t xml:space="preserve">.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line="240" w:lineRule="auto"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2.2.</w:t>
      </w:r>
      <w:r>
        <w:rPr>
          <w:rFonts w:ascii="Times New Roman" w:hAnsi="Times New Roman"/>
          <w:color w:val="000000"/>
          <w:sz w:val="24"/>
          <w:szCs w:val="24"/>
        </w:rPr>
        <w:t xml:space="preserve"> Требования к </w:t>
      </w:r>
      <w:r>
        <w:rPr>
          <w:rFonts w:ascii="Times New Roman" w:hAnsi="Times New Roman"/>
          <w:color w:val="000000"/>
          <w:sz w:val="24"/>
          <w:szCs w:val="24"/>
        </w:rPr>
        <w:t xml:space="preserve">материалам (</w:t>
      </w:r>
      <w:r>
        <w:rPr>
          <w:rFonts w:ascii="Times New Roman" w:hAnsi="Times New Roman"/>
          <w:color w:val="000000"/>
          <w:sz w:val="24"/>
          <w:szCs w:val="24"/>
        </w:rPr>
        <w:t xml:space="preserve">оборудованию</w:t>
      </w:r>
      <w:r>
        <w:rPr>
          <w:rFonts w:ascii="Times New Roman" w:hAnsi="Times New Roman"/>
          <w:color w:val="000000"/>
          <w:sz w:val="24"/>
          <w:szCs w:val="24"/>
        </w:rPr>
        <w:t xml:space="preserve">)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используем</w:t>
      </w:r>
      <w:r>
        <w:rPr>
          <w:rFonts w:ascii="Times New Roman" w:hAnsi="Times New Roman"/>
          <w:color w:val="000000"/>
          <w:sz w:val="24"/>
          <w:szCs w:val="24"/>
        </w:rPr>
        <w:t xml:space="preserve">ым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для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выполнения работ</w:t>
      </w:r>
      <w:r>
        <w:rPr>
          <w:rFonts w:ascii="Times New Roman" w:hAnsi="Times New Roman"/>
          <w:color w:val="000000"/>
          <w:sz w:val="24"/>
          <w:szCs w:val="24"/>
        </w:rPr>
        <w:t xml:space="preserve">: не установлено</w:t>
      </w:r>
      <w:r>
        <w:rPr>
          <w:rFonts w:ascii="Times New Roman" w:hAnsi="Times New Roman"/>
          <w:color w:val="000000"/>
          <w:sz w:val="24"/>
          <w:szCs w:val="24"/>
        </w:rPr>
        <w:t xml:space="preserve">.</w:t>
      </w:r>
      <w:r/>
    </w:p>
    <w:p>
      <w:pPr>
        <w:ind w:right="11" w:firstLine="567"/>
        <w:jc w:val="both"/>
        <w:spacing w:line="240" w:lineRule="auto"/>
        <w:tabs>
          <w:tab w:val="left" w:pos="10080" w:leader="none"/>
        </w:tabs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iCs/>
          <w:sz w:val="24"/>
          <w:lang w:eastAsia="ru-RU"/>
        </w:rPr>
        <w:t xml:space="preserve">К</w:t>
      </w:r>
      <w:r>
        <w:rPr>
          <w:rFonts w:ascii="Times New Roman" w:hAnsi="Times New Roman"/>
          <w:sz w:val="24"/>
          <w:lang w:eastAsia="ru-RU"/>
        </w:rPr>
        <w:t xml:space="preserve">ачество всех материалов и оборудования, содержащихся в </w:t>
      </w:r>
      <w:r>
        <w:rPr>
          <w:rFonts w:ascii="Times New Roman" w:hAnsi="Times New Roman"/>
          <w:sz w:val="24"/>
          <w:szCs w:val="24"/>
        </w:rPr>
        <w:t xml:space="preserve">Ведомости</w:t>
      </w:r>
      <w:r>
        <w:rPr>
          <w:rFonts w:ascii="Times New Roman" w:hAnsi="Times New Roman"/>
          <w:sz w:val="24"/>
          <w:szCs w:val="24"/>
        </w:rPr>
        <w:t xml:space="preserve"> объёмов работ (Приложение №1</w:t>
      </w:r>
      <w:r>
        <w:rPr>
          <w:rFonts w:ascii="Times New Roman" w:hAnsi="Times New Roman"/>
          <w:sz w:val="24"/>
          <w:szCs w:val="24"/>
        </w:rPr>
        <w:t xml:space="preserve"> к проекту муниципального контракта), Локальном</w:t>
      </w:r>
      <w:r>
        <w:rPr>
          <w:rFonts w:ascii="Times New Roman" w:hAnsi="Times New Roman"/>
          <w:sz w:val="24"/>
          <w:szCs w:val="24"/>
        </w:rPr>
        <w:t xml:space="preserve"> сме</w:t>
      </w:r>
      <w:r>
        <w:rPr>
          <w:rFonts w:ascii="Times New Roman" w:hAnsi="Times New Roman"/>
          <w:sz w:val="24"/>
          <w:szCs w:val="24"/>
        </w:rPr>
        <w:t xml:space="preserve">тном расчете  (Приложение №2</w:t>
      </w:r>
      <w:r>
        <w:rPr>
          <w:rFonts w:ascii="Times New Roman" w:hAnsi="Times New Roman"/>
          <w:sz w:val="24"/>
          <w:szCs w:val="24"/>
        </w:rPr>
        <w:t xml:space="preserve"> к проекту муниципального контракта)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Проекте (Приложение №3 к проекту муниципального контракта), </w:t>
      </w:r>
      <w:r>
        <w:rPr>
          <w:rFonts w:ascii="Times New Roman" w:hAnsi="Times New Roman"/>
          <w:sz w:val="24"/>
          <w:lang w:eastAsia="ru-RU"/>
        </w:rPr>
        <w:t xml:space="preserve">должно отвечать требованиям соответствующих нормативных документов</w:t>
      </w:r>
      <w:r>
        <w:rPr>
          <w:rFonts w:ascii="Times New Roman" w:hAnsi="Times New Roman"/>
          <w:sz w:val="24"/>
          <w:lang w:eastAsia="ru-RU"/>
        </w:rPr>
        <w:t xml:space="preserve"> (ГОСТ, СанПиН и пр.)</w:t>
      </w:r>
      <w:r>
        <w:rPr>
          <w:rFonts w:ascii="Times New Roman" w:hAnsi="Times New Roman"/>
          <w:sz w:val="24"/>
          <w:lang w:eastAsia="ru-RU"/>
        </w:rPr>
        <w:t xml:space="preserve">.</w:t>
      </w:r>
      <w:r>
        <w:rPr>
          <w:rFonts w:ascii="Times New Roman" w:hAnsi="Times New Roman"/>
          <w:sz w:val="24"/>
          <w:lang w:eastAsia="ru-RU"/>
        </w:rPr>
      </w:r>
      <w:r>
        <w:rPr>
          <w:rFonts w:ascii="Times New Roman" w:hAnsi="Times New Roman"/>
          <w:sz w:val="24"/>
          <w:lang w:eastAsia="ru-RU"/>
        </w:rPr>
      </w:r>
    </w:p>
    <w:p>
      <w:pPr>
        <w:ind w:right="-115" w:firstLine="400"/>
        <w:jc w:val="both"/>
        <w:spacing w:before="40" w:line="240" w:lineRule="auto"/>
        <w:tabs>
          <w:tab w:val="left" w:pos="426" w:leader="none"/>
          <w:tab w:val="num" w:pos="851" w:leader="none"/>
        </w:tabs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Наименования материалов, конструкций и оборудования в составе </w:t>
      </w:r>
      <w:r>
        <w:rPr>
          <w:rFonts w:ascii="Times New Roman" w:hAnsi="Times New Roman"/>
          <w:sz w:val="24"/>
          <w:szCs w:val="24"/>
        </w:rPr>
        <w:t xml:space="preserve">Ведомости </w:t>
      </w:r>
      <w:r>
        <w:rPr>
          <w:rFonts w:ascii="Times New Roman" w:hAnsi="Times New Roman"/>
          <w:sz w:val="24"/>
          <w:szCs w:val="24"/>
        </w:rPr>
        <w:t xml:space="preserve">объёмов работ (Приложение №1</w:t>
      </w:r>
      <w:r>
        <w:rPr>
          <w:rFonts w:ascii="Times New Roman" w:hAnsi="Times New Roman"/>
          <w:sz w:val="24"/>
          <w:szCs w:val="24"/>
        </w:rPr>
        <w:t xml:space="preserve"> к проекту муниципального контракта), Локальном </w:t>
      </w:r>
      <w:r>
        <w:rPr>
          <w:rFonts w:ascii="Times New Roman" w:hAnsi="Times New Roman"/>
          <w:sz w:val="24"/>
          <w:szCs w:val="24"/>
        </w:rPr>
        <w:t xml:space="preserve">сме</w:t>
      </w:r>
      <w:r>
        <w:rPr>
          <w:rFonts w:ascii="Times New Roman" w:hAnsi="Times New Roman"/>
          <w:sz w:val="24"/>
          <w:szCs w:val="24"/>
        </w:rPr>
        <w:t xml:space="preserve">тном расчете  (Приложение №2</w:t>
      </w:r>
      <w:r>
        <w:rPr>
          <w:rFonts w:ascii="Times New Roman" w:hAnsi="Times New Roman"/>
          <w:sz w:val="24"/>
          <w:szCs w:val="24"/>
        </w:rPr>
        <w:t xml:space="preserve"> к проекту муниципального контракта)</w:t>
      </w:r>
      <w:r>
        <w:rPr>
          <w:rFonts w:ascii="Times New Roman" w:hAnsi="Times New Roman"/>
          <w:sz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Проекте (Приложение №3 к проекту муниципального контракта),</w:t>
      </w:r>
      <w:r>
        <w:rPr>
          <w:rFonts w:ascii="Times New Roman" w:hAnsi="Times New Roman"/>
          <w:sz w:val="24"/>
          <w:lang w:eastAsia="ru-RU"/>
        </w:rPr>
        <w:t xml:space="preserve"> содержащие товарные знаки,</w:t>
      </w:r>
      <w:r>
        <w:rPr>
          <w:rFonts w:ascii="Times New Roman" w:hAnsi="Times New Roman"/>
          <w:sz w:val="24"/>
          <w:lang w:eastAsia="ru-RU"/>
        </w:rPr>
        <w:t xml:space="preserve"> использованы заказчиком для определения начально</w:t>
      </w:r>
      <w:r>
        <w:rPr>
          <w:rFonts w:ascii="Times New Roman" w:hAnsi="Times New Roman"/>
          <w:sz w:val="24"/>
          <w:lang w:eastAsia="ru-RU"/>
        </w:rPr>
        <w:t xml:space="preserve">й (максимальной) цены контракта.</w:t>
      </w:r>
      <w:r>
        <w:rPr>
          <w:rFonts w:ascii="Times New Roman" w:hAnsi="Times New Roman"/>
          <w:sz w:val="24"/>
          <w:lang w:eastAsia="ru-RU"/>
        </w:rPr>
      </w:r>
      <w:r>
        <w:rPr>
          <w:rFonts w:ascii="Times New Roman" w:hAnsi="Times New Roman"/>
          <w:sz w:val="24"/>
          <w:lang w:eastAsia="ru-RU"/>
        </w:rPr>
      </w:r>
    </w:p>
    <w:p>
      <w:pPr>
        <w:ind w:firstLine="709"/>
        <w:jc w:val="both"/>
        <w:spacing w:line="240" w:lineRule="auto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Любое упоминание на товарные знаки материалов, обору</w:t>
      </w:r>
      <w:r>
        <w:rPr>
          <w:rFonts w:ascii="Times New Roman" w:hAnsi="Times New Roman"/>
          <w:sz w:val="24"/>
          <w:lang w:eastAsia="ru-RU"/>
        </w:rPr>
        <w:t xml:space="preserve">дования, конструкций в </w:t>
      </w:r>
      <w:r>
        <w:rPr>
          <w:rFonts w:ascii="Times New Roman" w:hAnsi="Times New Roman"/>
          <w:sz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Ведомости</w:t>
      </w:r>
      <w:r>
        <w:rPr>
          <w:rFonts w:ascii="Times New Roman" w:hAnsi="Times New Roman"/>
          <w:sz w:val="24"/>
          <w:szCs w:val="24"/>
        </w:rPr>
        <w:t xml:space="preserve"> объёмов работ (Приложение №1 </w:t>
      </w:r>
      <w:r>
        <w:rPr>
          <w:rFonts w:ascii="Times New Roman" w:hAnsi="Times New Roman"/>
          <w:sz w:val="24"/>
          <w:szCs w:val="24"/>
        </w:rPr>
        <w:t xml:space="preserve">к проекту муниципального контракта), Локальном</w:t>
      </w:r>
      <w:r>
        <w:rPr>
          <w:rFonts w:ascii="Times New Roman" w:hAnsi="Times New Roman"/>
          <w:sz w:val="24"/>
          <w:szCs w:val="24"/>
        </w:rPr>
        <w:t xml:space="preserve"> сме</w:t>
      </w:r>
      <w:r>
        <w:rPr>
          <w:rFonts w:ascii="Times New Roman" w:hAnsi="Times New Roman"/>
          <w:sz w:val="24"/>
          <w:szCs w:val="24"/>
        </w:rPr>
        <w:t xml:space="preserve">тном</w:t>
      </w:r>
      <w:r>
        <w:rPr>
          <w:rFonts w:ascii="Times New Roman" w:hAnsi="Times New Roman"/>
          <w:sz w:val="24"/>
          <w:szCs w:val="24"/>
        </w:rPr>
        <w:t xml:space="preserve"> расчете (Приложение №2</w:t>
      </w:r>
      <w:r>
        <w:rPr>
          <w:rFonts w:ascii="Times New Roman" w:hAnsi="Times New Roman"/>
          <w:sz w:val="24"/>
          <w:szCs w:val="24"/>
        </w:rPr>
        <w:t xml:space="preserve"> к проекту муниципального контракта) Проекте (Приложение №3 к проекту муниципального Контракта)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lang w:eastAsia="ru-RU"/>
        </w:rPr>
        <w:t xml:space="preserve">подразумевает возможность их замены участником закупки на эквивалентные (соответствующие или превосходящие по качественным характеристикам).</w:t>
      </w:r>
      <w:r>
        <w:rPr>
          <w:rFonts w:ascii="Times New Roman" w:hAnsi="Times New Roman"/>
          <w:sz w:val="24"/>
          <w:lang w:eastAsia="ru-RU"/>
        </w:rPr>
      </w:r>
      <w:r>
        <w:rPr>
          <w:rFonts w:ascii="Times New Roman" w:hAnsi="Times New Roman"/>
          <w:sz w:val="24"/>
          <w:lang w:eastAsia="ru-RU"/>
        </w:rPr>
      </w:r>
    </w:p>
    <w:p>
      <w:pPr>
        <w:pStyle w:val="84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2.3.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Требования к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выполнению работ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844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Подрядчик</w:t>
      </w:r>
      <w:r>
        <w:rPr>
          <w:rFonts w:ascii="Times New Roman" w:hAnsi="Times New Roman"/>
          <w:sz w:val="24"/>
          <w:szCs w:val="24"/>
        </w:rPr>
        <w:t xml:space="preserve"> обязан </w:t>
      </w:r>
      <w:r>
        <w:rPr>
          <w:rFonts w:ascii="Times New Roman" w:hAnsi="Times New Roman"/>
          <w:sz w:val="24"/>
          <w:szCs w:val="24"/>
        </w:rPr>
        <w:t xml:space="preserve">выполнить</w:t>
      </w:r>
      <w:r>
        <w:rPr>
          <w:rFonts w:ascii="Times New Roman" w:hAnsi="Times New Roman"/>
          <w:sz w:val="24"/>
          <w:szCs w:val="24"/>
        </w:rPr>
        <w:t xml:space="preserve"> обусловленн</w:t>
      </w:r>
      <w:r>
        <w:rPr>
          <w:rFonts w:ascii="Times New Roman" w:hAnsi="Times New Roman"/>
          <w:sz w:val="24"/>
          <w:szCs w:val="24"/>
        </w:rPr>
        <w:t xml:space="preserve">ые</w:t>
      </w:r>
      <w:r>
        <w:rPr>
          <w:rFonts w:ascii="Times New Roman" w:hAnsi="Times New Roman"/>
          <w:sz w:val="24"/>
          <w:szCs w:val="24"/>
        </w:rPr>
        <w:t xml:space="preserve"> Контрактом </w:t>
      </w:r>
      <w:r>
        <w:rPr>
          <w:rFonts w:ascii="Times New Roman" w:hAnsi="Times New Roman"/>
          <w:sz w:val="24"/>
          <w:szCs w:val="24"/>
        </w:rPr>
        <w:t xml:space="preserve">работы</w:t>
      </w:r>
      <w:r>
        <w:rPr>
          <w:rFonts w:ascii="Times New Roman" w:hAnsi="Times New Roman"/>
          <w:sz w:val="24"/>
          <w:szCs w:val="24"/>
        </w:rPr>
        <w:t xml:space="preserve"> в соответствии с </w:t>
      </w:r>
      <w:r>
        <w:rPr>
          <w:rFonts w:ascii="Times New Roman" w:hAnsi="Times New Roman"/>
          <w:sz w:val="24"/>
          <w:szCs w:val="24"/>
        </w:rPr>
        <w:t xml:space="preserve">Ведомостью</w:t>
      </w:r>
      <w:r>
        <w:rPr>
          <w:rFonts w:ascii="Times New Roman" w:hAnsi="Times New Roman"/>
          <w:sz w:val="24"/>
          <w:szCs w:val="24"/>
        </w:rPr>
        <w:t xml:space="preserve"> объёмов работ (Приложение №1 </w:t>
      </w:r>
      <w:r>
        <w:rPr>
          <w:rFonts w:ascii="Times New Roman" w:hAnsi="Times New Roman"/>
          <w:sz w:val="24"/>
          <w:szCs w:val="24"/>
        </w:rPr>
        <w:t xml:space="preserve">к проекту муниципального контракта), Локальном сме</w:t>
      </w:r>
      <w:r>
        <w:rPr>
          <w:rFonts w:ascii="Times New Roman" w:hAnsi="Times New Roman"/>
          <w:sz w:val="24"/>
          <w:szCs w:val="24"/>
        </w:rPr>
        <w:t xml:space="preserve">тном расчете  (Приложение №2</w:t>
      </w:r>
      <w:r>
        <w:rPr>
          <w:rFonts w:ascii="Times New Roman" w:hAnsi="Times New Roman"/>
          <w:sz w:val="24"/>
          <w:szCs w:val="24"/>
        </w:rPr>
        <w:t xml:space="preserve"> к проекту муниципального контракта), Проектом (Приложение №3 к проекту муниципального контракта)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условиями муниципального контракта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844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Работы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, предусмотренные муниципальным контрактом,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выполняются Подрядчиком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, его силами, средствами и в сроки, предусмотренные муниципальным контрактом.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Подрядчик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несёт полную ответственность за ненадлежащее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качество выполнения работ, а также предоставленных им материалов и оборудования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tabs>
          <w:tab w:val="left" w:pos="171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Качество </w:t>
      </w:r>
      <w:r>
        <w:rPr>
          <w:rFonts w:ascii="Times New Roman" w:hAnsi="Times New Roman"/>
          <w:sz w:val="24"/>
          <w:szCs w:val="24"/>
        </w:rPr>
        <w:t xml:space="preserve">выполненных Подрядчиком работ </w:t>
      </w:r>
      <w:r>
        <w:rPr>
          <w:rFonts w:ascii="Times New Roman" w:hAnsi="Times New Roman"/>
          <w:sz w:val="24"/>
          <w:szCs w:val="24"/>
        </w:rPr>
        <w:t xml:space="preserve">по контракту должно соответствовать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условиями  муниципального контракта, а также обязательным требованиям действующих в Российской Федерации СНиП, ГОСТ, ПУЭ, ППР, СанПиН и иных нормативных документов в части, касающейся </w:t>
      </w:r>
      <w:r>
        <w:rPr>
          <w:rFonts w:ascii="Times New Roman" w:hAnsi="Times New Roman"/>
          <w:sz w:val="24"/>
          <w:szCs w:val="24"/>
        </w:rPr>
        <w:t xml:space="preserve">выполнения работ, предусмотренных проектом муниципального контракта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227"/>
        <w:jc w:val="both"/>
        <w:spacing w:before="2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Подрядчик гарантирует: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844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– Качество выполнения всех работ по муниципальному контракту в соответствии с действующими нормами и правилами и в соответствии с условиями муниципального контракта;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844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– Своевременное устранение недостатков и дефектов, выявленных при приемке работ;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844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– Своевременное устранение недостатков и дефектов, выявленных в период приживаемости растений, в том числе замена выпавших растений.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844"/>
        <w:jc w:val="both"/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</w:rPr>
      </w:r>
    </w:p>
    <w:p>
      <w:pPr>
        <w:pStyle w:val="844"/>
        <w:jc w:val="both"/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2.4.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lang w:eastAsia="ru-RU"/>
        </w:rPr>
        <w:t xml:space="preserve">Требования к гарантии качества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lang w:eastAsia="ru-RU"/>
        </w:rPr>
        <w:t xml:space="preserve">выполняемой работы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lang w:eastAsia="ru-RU"/>
        </w:rPr>
        <w:t xml:space="preserve">, а также требования гарантийному сроку и (или) объему предоставления гарантий качества: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  <w:lang w:eastAsia="ru-RU"/>
        </w:rPr>
      </w:r>
    </w:p>
    <w:p>
      <w:pPr>
        <w:contextualSpacing w:val="0"/>
        <w:ind w:left="0" w:right="0" w:firstLine="708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000000"/>
        <w:widowControl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  <w:t xml:space="preserve">Гарантийный срок на выполненные работы составляет 5 (пять) лет 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  <w:t xml:space="preserve">с даты подписания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  <w:t xml:space="preserve"> сторонами документа о приемке в соответствии с разделом 4 настоящего Конт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  <w:t xml:space="preserve">ракта. Гарантийный срок на материалы, использованные в целях выполнения предусмотренных контрактом работ, устанавливается в соответствии с гарантийными сроками их производителей. Течение гарантийного срока начинается со дня подписания документа о приёмке.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 w:val="0"/>
        <w:ind w:left="0" w:right="0" w:firstLine="708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000000"/>
        <w:widowControl/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  <w:t xml:space="preserve">В случае обнаружения недостатков (дефектов) в результатах работ после приёмки выполненных работ – устранение недостатков (дефектов) результата работ, выявленных в течение гарантийного срока, осуществляется силами и за счет средств Подрядчика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  <w:t xml:space="preserve">, в согласованные Заказчиком сроки, в случае выявления дефектов материалов, смонтированных конструкций, в том числе ограждений или иных результатах выполнения работ в пределах гарантийного срока, гарантийный срок продлевается на период устранения дефектов.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 w:val="0"/>
        <w:ind w:left="0" w:right="0" w:firstLine="708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000000"/>
        <w:widowControl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eastAsia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  <w:t xml:space="preserve">Качество выполнения всех работ по контракту должно соответствовать  условиями  муниципального контракта, а также обязательным требованиям действующих в Российской Федерации </w:t>
      </w:r>
      <w:r>
        <w:rPr>
          <w:rFonts w:ascii="Times New Roman" w:hAnsi="Times New Roman" w:eastAsia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  <w:t xml:space="preserve">СНиП</w:t>
      </w:r>
      <w:r>
        <w:rPr>
          <w:rFonts w:ascii="Times New Roman" w:hAnsi="Times New Roman" w:eastAsia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  <w:t xml:space="preserve">, ГОСТ, ПУЭ, ППР, </w:t>
      </w:r>
      <w:r>
        <w:rPr>
          <w:rFonts w:ascii="Times New Roman" w:hAnsi="Times New Roman" w:eastAsia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  <w:t xml:space="preserve">СанПиН</w:t>
      </w:r>
      <w:r>
        <w:rPr>
          <w:rFonts w:ascii="Times New Roman" w:hAnsi="Times New Roman" w:eastAsia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  <w:t xml:space="preserve">, технических регламентов и иных нормативных документов в части, касающейся предмета и содержания выполняемых работ.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 w:val="0"/>
        <w:ind w:left="0" w:right="0" w:firstLine="708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000000"/>
        <w:widowControl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eastAsia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  <w:t xml:space="preserve">Надлежащее качество исп</w:t>
      </w:r>
      <w:r>
        <w:rPr>
          <w:rFonts w:ascii="Times New Roman" w:hAnsi="Times New Roman" w:eastAsia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  <w:t xml:space="preserve">ользуемых товаров, материалов, машин, механизмов, оборудования, соответствие их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качество.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 w:val="0"/>
        <w:ind w:left="0" w:right="0" w:firstLine="708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000000"/>
        <w:widowControl/>
        <w:rPr>
          <w:rFonts w:hint="default" w:ascii="Times New Roman" w:hAnsi="Times New Roman" w:eastAsia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14:ligatures w14:val="none"/>
        </w:rPr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14:ligatures w14:val="none"/>
        </w:rPr>
      </w:r>
    </w:p>
    <w:p>
      <w:pPr>
        <w:pStyle w:val="844"/>
        <w:jc w:val="both"/>
        <w:spacing w:line="276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3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. Объём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выполняемых работ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pStyle w:val="844"/>
        <w:jc w:val="both"/>
        <w:spacing w:line="276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Объём, виды и условия </w:t>
      </w:r>
      <w:r>
        <w:rPr>
          <w:rStyle w:val="850"/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выполняемых работ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, предусмотренные в п.1.1 Контракта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,</w:t>
      </w:r>
      <w:r>
        <w:rPr>
          <w:rStyle w:val="850"/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 </w:t>
      </w:r>
      <w:r>
        <w:rPr>
          <w:rStyle w:val="850"/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определяются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Ведомостью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объёмов работ (Приложение №1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к Контракт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у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), Локальным сме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тным расчетом  (Приложение №2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 Контракт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у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), Проектом (Приложение №3 к Контракту)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и условиями настоящего контракта</w:t>
      </w:r>
      <w:r>
        <w:rPr>
          <w:rStyle w:val="850"/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yellow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</w:r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4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. Место </w:t>
      </w:r>
      <w:r>
        <w:rPr>
          <w:rFonts w:ascii="Times New Roman" w:hAnsi="Times New Roman"/>
          <w:b/>
          <w:spacing w:val="2"/>
          <w:sz w:val="24"/>
          <w:szCs w:val="24"/>
          <w:lang w:eastAsia="ru-RU"/>
        </w:rPr>
        <w:t xml:space="preserve">выполнения работ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«Парк им. 777-летия города</w:t>
      </w:r>
      <w:r>
        <w:rPr>
          <w:rFonts w:ascii="Times New Roman" w:hAnsi="Times New Roman"/>
          <w:sz w:val="24"/>
          <w:szCs w:val="24"/>
        </w:rPr>
        <w:t xml:space="preserve"> Нижнего Новгорода» в </w:t>
      </w:r>
      <w:r>
        <w:rPr>
          <w:rFonts w:ascii="Times New Roman" w:hAnsi="Times New Roman"/>
          <w:sz w:val="24"/>
          <w:szCs w:val="24"/>
        </w:rPr>
        <w:t xml:space="preserve">Автозаводском районе города Нижнего Новгорода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5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. Срок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выполнения работ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 дня, следующего за днем заключения контракта, до 31.08.2026г. </w:t>
      </w:r>
      <w:r>
        <w:rPr>
          <w:rFonts w:ascii="Times New Roman" w:hAnsi="Times New Roman"/>
          <w:sz w:val="24"/>
          <w:szCs w:val="24"/>
          <w:shd w:val="clear" w:color="auto" w:fill="ffffff"/>
        </w:rPr>
      </w:r>
      <w:r>
        <w:rPr>
          <w:rFonts w:ascii="Times New Roman" w:hAnsi="Times New Roman"/>
          <w:sz w:val="24"/>
          <w:szCs w:val="24"/>
          <w:shd w:val="clear" w:color="auto" w:fill="ffffff"/>
        </w:rPr>
      </w:r>
    </w:p>
    <w:p>
      <w:pPr>
        <w:jc w:val="both"/>
        <w:spacing w:after="0" w:line="240" w:lineRule="auto"/>
        <w:rPr>
          <w:rFonts w:ascii="Times New Roman" w:hAnsi="Times New Roman"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auto"/>
          <w:sz w:val="24"/>
          <w:szCs w:val="24"/>
          <w:shd w:val="clear" w:color="auto" w:fill="ffffff"/>
        </w:rPr>
      </w:r>
      <w:r>
        <w:rPr>
          <w:rFonts w:ascii="Times New Roman" w:hAnsi="Times New Roman"/>
          <w:color w:val="auto"/>
          <w:sz w:val="24"/>
          <w:szCs w:val="24"/>
          <w:shd w:val="clear" w:color="auto" w:fill="ffffff"/>
        </w:rPr>
      </w:r>
      <w:r>
        <w:rPr>
          <w:rFonts w:ascii="Times New Roman" w:hAnsi="Times New Roman"/>
          <w:color w:val="auto"/>
          <w:sz w:val="24"/>
          <w:szCs w:val="24"/>
          <w:shd w:val="clear" w:color="auto" w:fill="ffffff"/>
        </w:rPr>
      </w:r>
    </w:p>
    <w:p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6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. Источник финансирования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: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 w:val="0"/>
          <w:color w:val="auto"/>
          <w:sz w:val="24"/>
          <w:szCs w:val="24"/>
          <w:highlight w:val="none"/>
        </w:rPr>
        <w:t xml:space="preserve">средства бюджета городского округа города Нижнего Новгорода на </w:t>
      </w:r>
      <w:r>
        <w:rPr>
          <w:rFonts w:ascii="Times New Roman" w:hAnsi="Times New Roman"/>
          <w:b w:val="0"/>
          <w:color w:val="auto"/>
          <w:sz w:val="24"/>
          <w:szCs w:val="24"/>
          <w:highlight w:val="none"/>
        </w:rPr>
        <w:t xml:space="preserve">2026 год в рамках муниципальной программы «Формирование комфортной городской среды города Нижнего Новгорода</w:t>
      </w:r>
      <w:r>
        <w:rPr>
          <w:rFonts w:ascii="Times New Roman" w:hAnsi="Times New Roman"/>
          <w:b w:val="0"/>
          <w:color w:val="auto"/>
          <w:sz w:val="24"/>
          <w:szCs w:val="24"/>
          <w:highlight w:val="none"/>
        </w:rPr>
        <w:t xml:space="preserve">»</w:t>
      </w:r>
      <w:r>
        <w:rPr>
          <w:rFonts w:ascii="Times New Roman" w:hAnsi="Times New Roman"/>
          <w:b w:val="0"/>
          <w:color w:val="auto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</w:p>
    <w:tbl>
      <w:tblPr>
        <w:tblpPr w:horzAnchor="margin" w:tblpX="108" w:vertAnchor="text" w:tblpY="85" w:leftFromText="180" w:topFromText="0" w:rightFromText="180" w:bottomFromText="0"/>
        <w:tblW w:w="10240" w:type="dxa"/>
        <w:tblLayout w:type="fixed"/>
        <w:tblLook w:val="04A0" w:firstRow="1" w:lastRow="0" w:firstColumn="1" w:lastColumn="0" w:noHBand="0" w:noVBand="1"/>
      </w:tblPr>
      <w:tblGrid>
        <w:gridCol w:w="1668"/>
        <w:gridCol w:w="5260"/>
        <w:gridCol w:w="3312"/>
      </w:tblGrid>
      <w:tr>
        <w:tblPrEx/>
        <w:trPr>
          <w:cantSplit/>
          <w:trHeight w:val="447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Финансовый год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6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КБК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Сумма, руб.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cantSplit/>
          <w:trHeight w:val="447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6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 xml:space="preserve">202</w:t>
            </w:r>
            <w:r>
              <w:rPr>
                <w:rFonts w:ascii="Times New Roman" w:hAnsi="Times New Roman"/>
                <w:highlight w:val="none"/>
              </w:rPr>
              <w:t xml:space="preserve">6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60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134 05 03 26ПИ455550 244 1 1 101 321 310 700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none"/>
              </w:rPr>
              <w:t xml:space="preserve">552 409,15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</w:tr>
      <w:tr>
        <w:tblPrEx/>
        <w:trPr>
          <w:cantSplit/>
          <w:trHeight w:val="447"/>
        </w:trPr>
        <w:tc>
          <w:tcPr>
            <w:shd w:val="clear" w:color="000000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60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134 05 03 26ПИ455550 244 2 1 234 321 310 700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none"/>
              </w:rPr>
              <w:t xml:space="preserve">298 300,94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</w:tr>
      <w:tr>
        <w:tblPrEx/>
        <w:trPr>
          <w:trHeight w:val="447"/>
        </w:trPr>
        <w:tc>
          <w:tcPr>
            <w:shd w:val="clear" w:color="000000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60" w:type="dxa"/>
            <w:vAlign w:val="center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134 05 03 26ПИ455550 244 3 1 234 321 310 700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none"/>
              </w:rPr>
              <w:t xml:space="preserve">4 673 381,39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</w:tr>
      <w:tr>
        <w:tblPrEx/>
        <w:trPr>
          <w:cantSplit/>
          <w:trHeight w:val="300"/>
        </w:trPr>
        <w:tc>
          <w:tcPr>
            <w:gridSpan w:val="2"/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8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 xml:space="preserve">5 524 091,48</w:t>
            </w:r>
            <w:r>
              <w:rPr>
                <w:rFonts w:ascii="Times New Roman" w:hAnsi="Times New Roman"/>
                <w:b/>
                <w:highlight w:val="yellow"/>
              </w:rPr>
            </w:r>
            <w:r>
              <w:rPr>
                <w:rFonts w:ascii="Times New Roman" w:hAnsi="Times New Roman"/>
                <w:b/>
                <w:highlight w:val="yellow"/>
              </w:rPr>
            </w:r>
          </w:p>
        </w:tc>
      </w:tr>
    </w:tbl>
    <w:p>
      <w:pPr>
        <w:pStyle w:val="844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</w:p>
    <w:p>
      <w:pPr>
        <w:pStyle w:val="8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tabs>
          <w:tab w:val="left" w:pos="2160" w:leader="none"/>
        </w:tabs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7</w:t>
      </w:r>
      <w:r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. Начальная (максимальная) цена контракта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5 524 091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(пять</w:t>
      </w:r>
      <w:r>
        <w:rPr>
          <w:rFonts w:ascii="Times New Roman" w:hAnsi="Times New Roman"/>
          <w:sz w:val="24"/>
          <w:szCs w:val="24"/>
        </w:rPr>
        <w:t xml:space="preserve"> миллионов пятьсот двадцать четыре тысячи девяносто один</w:t>
      </w:r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  <w:t xml:space="preserve"> рубль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48</w:t>
      </w:r>
      <w:r>
        <w:rPr>
          <w:rFonts w:ascii="Times New Roman" w:hAnsi="Times New Roman"/>
          <w:sz w:val="24"/>
          <w:szCs w:val="24"/>
        </w:rPr>
        <w:t xml:space="preserve"> копеек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/>
          <w:color w:val="000000"/>
          <w:spacing w:val="-1"/>
          <w:sz w:val="24"/>
          <w:szCs w:val="24"/>
        </w:rPr>
      </w:r>
    </w:p>
    <w:p>
      <w:pPr>
        <w:pStyle w:val="844"/>
        <w:jc w:val="both"/>
        <w:spacing w:after="240"/>
      </w:pPr>
      <w:r>
        <w:rPr>
          <w:rFonts w:ascii="Times New Roman" w:hAnsi="Times New Roman" w:cs="Times New Roman"/>
          <w:b/>
          <w:sz w:val="24"/>
          <w:szCs w:val="24"/>
        </w:rPr>
        <w:t xml:space="preserve">8</w:t>
      </w:r>
      <w:r>
        <w:rPr>
          <w:rFonts w:ascii="Times New Roman" w:hAnsi="Times New Roman" w:cs="Times New Roman"/>
          <w:b/>
          <w:sz w:val="24"/>
          <w:szCs w:val="24"/>
        </w:rPr>
        <w:t xml:space="preserve">. Порядок формирования цены контракта: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Цена контракта формируется по результатам открытого аукциона в электронной форме</w:t>
      </w:r>
      <w:r>
        <w:rPr>
          <w:rFonts w:ascii="Times New Roman" w:hAnsi="Times New Roman" w:eastAsia="Times New Roman" w:cs="Times New Roman"/>
          <w:color w:val="00000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 учетом НДС по налоговой ставке _________% / без НДС (в  случае, если контракт заключается с лицами, не являющимися в соответствии с законода</w:t>
      </w:r>
      <w:r>
        <w:rPr>
          <w:rFonts w:ascii="Times New Roman" w:hAnsi="Times New Roman"/>
          <w:sz w:val="24"/>
          <w:szCs w:val="24"/>
        </w:rPr>
        <w:t xml:space="preserve">тельством Российской Федерации о налогах и сборах плательщиками налога на добавленную стоимость) и включает в себя стоимость всех работ в соответствии с предметом Контракта, включая стоимость всех материалов, механизмов и оборудования, транспортные расходы</w:t>
      </w:r>
      <w:r>
        <w:rPr>
          <w:rFonts w:ascii="Times New Roman" w:hAnsi="Times New Roman"/>
          <w:sz w:val="24"/>
          <w:szCs w:val="24"/>
        </w:rPr>
        <w:t xml:space="preserve">, расходы  по страхованию, затраты на получение необходимых согласований, расходы по уплате налогов, таможенных и иных обязательных платежей, предусмотренных законодательством Российской Федерации.</w:t>
      </w:r>
      <w:r>
        <w:t xml:space="preserve">  </w:t>
      </w:r>
      <w:r/>
    </w:p>
    <w:p>
      <w:pPr>
        <w:pStyle w:val="844"/>
        <w:ind w:firstLine="0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9</w:t>
      </w:r>
      <w:r>
        <w:rPr>
          <w:rFonts w:ascii="Times New Roman" w:hAnsi="Times New Roman"/>
          <w:b/>
          <w:bCs/>
          <w:sz w:val="24"/>
          <w:szCs w:val="24"/>
        </w:rPr>
        <w:t xml:space="preserve">. Форма, сроки и порядок оплаты </w:t>
      </w:r>
      <w:r>
        <w:rPr>
          <w:rFonts w:ascii="Times New Roman" w:hAnsi="Times New Roman"/>
          <w:b/>
          <w:bCs/>
          <w:sz w:val="24"/>
          <w:szCs w:val="24"/>
        </w:rPr>
        <w:t xml:space="preserve">выполненных работ</w:t>
      </w:r>
      <w:r>
        <w:rPr>
          <w:rFonts w:ascii="Times New Roman" w:hAnsi="Times New Roman"/>
          <w:b/>
          <w:bCs/>
          <w:sz w:val="24"/>
          <w:szCs w:val="24"/>
        </w:rPr>
        <w:t xml:space="preserve">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</w:p>
    <w:p>
      <w:pPr>
        <w:pStyle w:val="844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Оплата за выполненные работы по Контракту осуществляется  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в течение 7 (семи) рабочих дней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с даты подписания Заказчиком документа о приемке в Единой информационной системе в сфере закупок, выставленных Подрядчик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ом Счета-фактуры (счета) путем перечисления на расчетный счет Подрядчика денежных средств в порядке,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предусмотренном казначейской системой исполнения бюджета города Нижнего Новгорода, с лицевого счета Заказчика в департаменте финансов администрации города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Нижнего Новгорода 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соответствии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с выделенными бюджетными ассигнованиями на 2026 финансовый год в пределах лимитов бюджетных обязательств при наличии предельного объёма финансирования.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</w:p>
    <w:p>
      <w:pPr>
        <w:pStyle w:val="84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Основанием для осуществления платежа является документ о приемке, размещенный в Единой информационной системе в сфере закупок.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4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Авансирование предусмотрено в размере 3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0% от цены Контракта.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14:ligatures w14:val="none"/>
        </w:rPr>
      </w:r>
    </w:p>
    <w:p>
      <w:pPr>
        <w:pStyle w:val="844"/>
        <w:ind w:firstLine="709"/>
        <w:jc w:val="both"/>
        <w:rPr>
          <w:rFonts w:ascii="Times New Roman" w:hAnsi="Times New Roman" w:eastAsia="Times New Roman" w:cs="Times New Roman"/>
          <w:color w:val="auto" w:themeColor="text1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Выплата аванса осуществляется Заказчиком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в безналичном порядке путем перечисления денежных средств на расчетный счет Подрядчика в течение 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(семи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) рабочих дней со дня,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следующего за днем предоставления Подрядчиком счета на получение аванса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, но не ранее дат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ы заключения мун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иципального контракта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auto" w:themeColor="text1"/>
          <w:sz w:val="24"/>
          <w:szCs w:val="24"/>
          <w14:ligatures w14:val="none"/>
        </w:rPr>
      </w:r>
    </w:p>
    <w:p>
      <w:pPr>
        <w:pStyle w:val="844"/>
        <w:ind w:firstLine="709"/>
        <w:jc w:val="both"/>
        <w:rPr>
          <w:rFonts w:ascii="Times New Roman" w:hAnsi="Times New Roman" w:eastAsia="Times New Roman" w:cs="Times New Roman"/>
          <w:color w:val="auto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Сумма выданного аванса учитывается Подрядчиком и Заказчиком при расчетах за выполненные и принятые объемы работ путем вычетов пропорциональных сумм из сумм очередных платежей, причитающихся Подрядчику.</w:t>
      </w:r>
      <w:r>
        <w:rPr>
          <w:rFonts w:ascii="Times New Roman" w:hAnsi="Times New Roman" w:eastAsia="Times New Roman" w:cs="Times New Roman"/>
          <w:color w:val="auto"/>
          <w14:ligatures w14:val="none"/>
        </w:rPr>
      </w:r>
      <w:r>
        <w:rPr>
          <w:rFonts w:ascii="Times New Roman" w:hAnsi="Times New Roman" w:eastAsia="Times New Roman" w:cs="Times New Roman"/>
          <w:color w:val="auto"/>
          <w14:ligatures w14:val="none"/>
        </w:rPr>
      </w:r>
    </w:p>
    <w:p>
      <w:pPr>
        <w:pStyle w:val="844"/>
        <w:ind w:firstLine="709"/>
        <w:jc w:val="both"/>
        <w:rPr>
          <w:rFonts w:ascii="Times New Roman" w:hAnsi="Times New Roman" w:eastAsia="Times New Roman" w:cs="Times New Roman"/>
          <w:color w:val="auto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В случае досрочного расторжения Контракта Подрядчик обязан вернуть полученный аванс в полном объеме или его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неотработанную часть в течение 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пяти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) рабочих дней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с даты расторжения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Контракта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auto"/>
          <w14:ligatures w14:val="none"/>
        </w:rPr>
      </w:r>
      <w:r>
        <w:rPr>
          <w:rFonts w:ascii="Times New Roman" w:hAnsi="Times New Roman" w:eastAsia="Times New Roman" w:cs="Times New Roman"/>
          <w:color w:val="auto"/>
          <w14:ligatures w14:val="none"/>
        </w:rPr>
      </w:r>
    </w:p>
    <w:p>
      <w:pPr>
        <w:pStyle w:val="84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Сумма, подлежащая уплате Заказчиком юридическому лицу или физическому лицу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в том  числе зарегистрированному в качестве индивидуального предпринимателя, по Контракту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вии с законодательством Российской Федерации о налогах и сборах такие налоги, сборы и иные обязательные платежи подлежат уплате в бюджеты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бюджетной системы Российской  Федерации Заказчиком.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6"/>
        <w:ind w:firstLine="708"/>
        <w:jc w:val="both"/>
        <w:rPr>
          <w:sz w:val="24"/>
          <w:szCs w:val="24"/>
          <w:highlight w:val="none"/>
        </w:rPr>
      </w:pPr>
      <w:r>
        <w:rPr>
          <w:rStyle w:val="850"/>
          <w:rFonts w:ascii="Times New Roman" w:hAnsi="Times New Roman"/>
          <w:bCs/>
          <w:spacing w:val="2"/>
          <w:sz w:val="24"/>
          <w:szCs w:val="24"/>
        </w:rPr>
        <w:t xml:space="preserve">В случае выявления Заказчиком просрочки исполнения </w:t>
      </w:r>
      <w:r>
        <w:rPr>
          <w:rStyle w:val="850"/>
          <w:rFonts w:ascii="Times New Roman" w:hAnsi="Times New Roman"/>
          <w:bCs/>
          <w:spacing w:val="2"/>
          <w:sz w:val="24"/>
          <w:szCs w:val="24"/>
        </w:rPr>
        <w:t xml:space="preserve">Подрядчиком</w:t>
      </w:r>
      <w:r>
        <w:rPr>
          <w:rStyle w:val="850"/>
          <w:rFonts w:ascii="Times New Roman" w:hAnsi="Times New Roman"/>
          <w:bCs/>
          <w:spacing w:val="2"/>
          <w:sz w:val="24"/>
          <w:szCs w:val="24"/>
        </w:rPr>
        <w:t xml:space="preserve"> обязательств, предусмотренных Контрактом, а также в иных случаях неисполнения или ненадлежащего исполнения </w:t>
      </w:r>
      <w:r>
        <w:rPr>
          <w:rStyle w:val="850"/>
          <w:rFonts w:ascii="Times New Roman" w:hAnsi="Times New Roman"/>
          <w:bCs/>
          <w:spacing w:val="2"/>
          <w:sz w:val="24"/>
          <w:szCs w:val="24"/>
        </w:rPr>
        <w:t xml:space="preserve">Подрядчиком</w:t>
      </w:r>
      <w:r>
        <w:rPr>
          <w:rStyle w:val="850"/>
          <w:rFonts w:ascii="Times New Roman" w:hAnsi="Times New Roman"/>
          <w:bCs/>
          <w:spacing w:val="2"/>
          <w:sz w:val="24"/>
          <w:szCs w:val="24"/>
        </w:rPr>
        <w:t xml:space="preserve"> обязательств по настоящему Контракту, Стороны, подписанием настоящего Контракта согласовали, что удержание суммы неисполненных </w:t>
      </w:r>
      <w:r>
        <w:rPr>
          <w:rStyle w:val="850"/>
          <w:rFonts w:ascii="Times New Roman" w:hAnsi="Times New Roman"/>
          <w:bCs/>
          <w:spacing w:val="2"/>
          <w:sz w:val="24"/>
          <w:szCs w:val="24"/>
        </w:rPr>
        <w:t xml:space="preserve">Подрядчиком</w:t>
      </w:r>
      <w:r>
        <w:rPr>
          <w:rStyle w:val="850"/>
          <w:rFonts w:ascii="Times New Roman" w:hAnsi="Times New Roman"/>
          <w:bCs/>
          <w:spacing w:val="2"/>
          <w:sz w:val="24"/>
          <w:szCs w:val="24"/>
        </w:rPr>
        <w:t xml:space="preserve"> требований об уплате неустойки (штрафов, пеней), предъявленных Заказчиком в соответствии с Федеральным законом от 05.04.2013 №44-ФЗ, производится Заказчиком  из суммы, подлежащей оплате </w:t>
      </w:r>
      <w:r>
        <w:rPr>
          <w:rStyle w:val="850"/>
          <w:rFonts w:ascii="Times New Roman" w:hAnsi="Times New Roman"/>
          <w:bCs/>
          <w:spacing w:val="2"/>
          <w:sz w:val="24"/>
          <w:szCs w:val="24"/>
        </w:rPr>
        <w:t xml:space="preserve">Подрядчику</w:t>
      </w:r>
      <w:r>
        <w:rPr>
          <w:rStyle w:val="850"/>
          <w:rFonts w:ascii="Times New Roman" w:hAnsi="Times New Roman"/>
          <w:bCs/>
          <w:spacing w:val="2"/>
          <w:sz w:val="24"/>
          <w:szCs w:val="24"/>
        </w:rPr>
        <w:t xml:space="preserve">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46"/>
        <w:ind w:firstLine="708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Style w:val="850"/>
          <w:rFonts w:ascii="Times New Roman" w:hAnsi="Times New Roman"/>
          <w:b/>
          <w:bCs/>
          <w:spacing w:val="2"/>
          <w:sz w:val="24"/>
          <w:szCs w:val="24"/>
        </w:rPr>
        <w:t xml:space="preserve">10.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Информация о преимуществах участия в определении поставщика (подрядчика, исполнителя) в соответствии с </w:t>
      </w:r>
      <w:hyperlink r:id="rId10" w:tooltip="http://www.consultant.ru/document/cons_doc_LAW_388926/3cd4512b8c634f543d68d0da993c1bcb17a24bb8/#dst2211" w:anchor="dst2211" w:history="1">
        <w:r>
          <w:rPr>
            <w:rFonts w:ascii="Times New Roman" w:hAnsi="Times New Roman"/>
            <w:b/>
            <w:sz w:val="24"/>
            <w:szCs w:val="24"/>
            <w:lang w:eastAsia="ru-RU"/>
          </w:rPr>
          <w:t xml:space="preserve">частью 3 статьи 30</w:t>
        </w:r>
      </w:hyperlink>
      <w:r>
        <w:rPr>
          <w:rFonts w:ascii="Times New Roman" w:hAnsi="Times New Roman"/>
          <w:b/>
          <w:sz w:val="24"/>
          <w:szCs w:val="24"/>
          <w:lang w:eastAsia="ru-RU"/>
        </w:rPr>
        <w:t xml:space="preserve">  Федерального закона от 05.04.2013 № 44-ФЗ</w:t>
      </w:r>
      <w:r>
        <w:rPr>
          <w:rFonts w:ascii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участниками закупки могут быть только субъекты малого предпринимательства и социально ориентиро</w:t>
      </w:r>
      <w:r>
        <w:rPr>
          <w:rFonts w:ascii="Times New Roman" w:hAnsi="Times New Roman"/>
          <w:sz w:val="24"/>
          <w:szCs w:val="24"/>
        </w:rPr>
        <w:t xml:space="preserve">ванные некоммерческие организации.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/>
          <w:sz w:val="24"/>
          <w:szCs w:val="24"/>
        </w:rPr>
        <w:t xml:space="preserve">1</w:t>
      </w:r>
      <w:r>
        <w:rPr>
          <w:rFonts w:ascii="Times New Roman" w:hAnsi="Times New Roman"/>
          <w:b/>
          <w:sz w:val="24"/>
          <w:szCs w:val="24"/>
        </w:rPr>
        <w:t xml:space="preserve">1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Размер обеспечения заявки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на участие в закупке</w:t>
      </w:r>
      <w:r>
        <w:rPr>
          <w:rFonts w:ascii="Times New Roman" w:hAnsi="Times New Roman"/>
          <w:b/>
          <w:bCs/>
          <w:sz w:val="24"/>
          <w:szCs w:val="24"/>
        </w:rPr>
        <w:t xml:space="preserve">:</w:t>
      </w:r>
      <w:r>
        <w:rPr>
          <w:rFonts w:ascii="Times New Roman" w:hAnsi="Times New Roman"/>
          <w:bCs/>
          <w:sz w:val="24"/>
          <w:szCs w:val="24"/>
        </w:rPr>
        <w:t xml:space="preserve"> 1% от начальной (максимальной) цены контракта, 55 240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(пятьдесят пять </w:t>
      </w:r>
      <w:r>
        <w:rPr>
          <w:rFonts w:ascii="Times New Roman" w:hAnsi="Times New Roman"/>
          <w:bCs/>
          <w:sz w:val="24"/>
          <w:szCs w:val="24"/>
        </w:rPr>
        <w:t xml:space="preserve">тысяч двести сорок</w:t>
      </w:r>
      <w:r>
        <w:rPr>
          <w:rFonts w:ascii="Times New Roman" w:hAnsi="Times New Roman"/>
          <w:bCs/>
          <w:sz w:val="24"/>
          <w:szCs w:val="24"/>
        </w:rPr>
        <w:t xml:space="preserve">) рубл</w:t>
      </w:r>
      <w:r>
        <w:rPr>
          <w:rFonts w:ascii="Times New Roman" w:hAnsi="Times New Roman"/>
          <w:bCs/>
          <w:sz w:val="24"/>
          <w:szCs w:val="24"/>
        </w:rPr>
        <w:t xml:space="preserve">ей</w:t>
      </w:r>
      <w:r>
        <w:rPr>
          <w:rFonts w:ascii="Times New Roman" w:hAnsi="Times New Roman"/>
          <w:bCs/>
          <w:sz w:val="24"/>
          <w:szCs w:val="24"/>
        </w:rPr>
        <w:t xml:space="preserve"> 91 </w:t>
      </w:r>
      <w:r>
        <w:rPr>
          <w:rFonts w:ascii="Times New Roman" w:hAnsi="Times New Roman"/>
          <w:bCs/>
          <w:sz w:val="24"/>
          <w:szCs w:val="24"/>
        </w:rPr>
        <w:t xml:space="preserve">копейка</w:t>
      </w:r>
      <w:r>
        <w:rPr>
          <w:rFonts w:ascii="Times New Roman" w:hAnsi="Times New Roman"/>
          <w:bCs/>
          <w:sz w:val="24"/>
          <w:szCs w:val="24"/>
        </w:rPr>
        <w:t xml:space="preserve">.</w:t>
      </w:r>
      <w:r>
        <w:rPr>
          <w:rFonts w:ascii="Times New Roman" w:hAnsi="Times New Roman"/>
          <w:bCs/>
          <w:sz w:val="24"/>
          <w:szCs w:val="24"/>
          <w:highlight w:val="yellow"/>
        </w:rPr>
      </w:r>
      <w:r>
        <w:rPr>
          <w:rFonts w:ascii="Times New Roman" w:hAnsi="Times New Roman"/>
          <w:bCs/>
          <w:sz w:val="24"/>
          <w:szCs w:val="24"/>
          <w:highlight w:val="yellow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</w:r>
      <w:r>
        <w:rPr>
          <w:rFonts w:ascii="Times New Roman" w:hAnsi="Times New Roman"/>
          <w:bCs/>
          <w:sz w:val="24"/>
          <w:szCs w:val="24"/>
          <w:highlight w:val="yellow"/>
        </w:rPr>
      </w:r>
      <w:r>
        <w:rPr>
          <w:rFonts w:ascii="Times New Roman" w:hAnsi="Times New Roman"/>
          <w:bCs/>
          <w:sz w:val="24"/>
          <w:szCs w:val="24"/>
          <w:highlight w:val="yellow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</w:t>
      </w:r>
      <w:r>
        <w:rPr>
          <w:rFonts w:ascii="Times New Roman" w:hAnsi="Times New Roman"/>
          <w:b/>
          <w:bCs/>
          <w:sz w:val="24"/>
          <w:szCs w:val="24"/>
        </w:rPr>
        <w:t xml:space="preserve">2</w:t>
      </w:r>
      <w:r>
        <w:rPr>
          <w:rFonts w:ascii="Times New Roman" w:hAnsi="Times New Roman"/>
          <w:b/>
          <w:bCs/>
          <w:sz w:val="24"/>
          <w:szCs w:val="24"/>
        </w:rPr>
        <w:t xml:space="preserve"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Порядок внесения денежных сре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дств в к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ачестве обеспечения заявки на участие в закупке, а также условия гарантии:</w:t>
      </w:r>
      <w:r>
        <w:rPr>
          <w:rFonts w:ascii="Times New Roman" w:hAnsi="Times New Roman"/>
          <w:sz w:val="24"/>
          <w:szCs w:val="24"/>
          <w:lang w:eastAsia="ru-RU"/>
        </w:rPr>
        <w:t xml:space="preserve"> в соответствии со </w:t>
      </w:r>
      <w:hyperlink r:id="rId11" w:tooltip="http://www.consultant.ru/document/cons_doc_LAW_388926/f0d585697b9aa54ef56a166f7c33e3f0e609889e/#dst2389" w:anchor="dst2389" w:history="1">
        <w:r>
          <w:rPr>
            <w:rFonts w:ascii="Times New Roman" w:hAnsi="Times New Roman"/>
            <w:sz w:val="24"/>
            <w:szCs w:val="24"/>
            <w:lang w:eastAsia="ru-RU"/>
          </w:rPr>
          <w:t xml:space="preserve">статьей 44</w:t>
        </w:r>
      </w:hyperlink>
      <w:r>
        <w:rPr>
          <w:rFonts w:ascii="Times New Roman" w:hAnsi="Times New Roman"/>
          <w:sz w:val="24"/>
          <w:szCs w:val="24"/>
          <w:lang w:eastAsia="ru-RU"/>
        </w:rPr>
        <w:t xml:space="preserve"> Федерального закона от 05.04.2013 № 44-ФЗ.</w:t>
      </w: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  <w:t xml:space="preserve">У</w:t>
      </w:r>
      <w:r>
        <w:rPr>
          <w:rFonts w:ascii="Times New Roman" w:hAnsi="Times New Roman"/>
          <w:sz w:val="24"/>
          <w:szCs w:val="24"/>
          <w:lang w:eastAsia="ru-RU"/>
        </w:rPr>
        <w:t xml:space="preserve">частники закупки, зарегистрированные на территории государства - члена Евразийского экономического союза, за исключением Российской Федерации,  вправе предоставить обеспечение заявок в виде денежных средств с учетом особенностей, установленных постановлени</w:t>
      </w:r>
      <w:r>
        <w:rPr>
          <w:rFonts w:ascii="Times New Roman" w:hAnsi="Times New Roman"/>
          <w:sz w:val="24"/>
          <w:szCs w:val="24"/>
          <w:lang w:eastAsia="ru-RU"/>
        </w:rPr>
        <w:t xml:space="preserve">е</w:t>
      </w:r>
      <w:r>
        <w:rPr>
          <w:rFonts w:ascii="Times New Roman" w:hAnsi="Times New Roman"/>
          <w:sz w:val="24"/>
          <w:szCs w:val="24"/>
          <w:lang w:eastAsia="ru-RU"/>
        </w:rPr>
        <w:t xml:space="preserve">м Правительства РФ от 10.04.2023 № 579 «Об особенностях порядка предоставления обеспечения заявок на участие в закупках товаров, работ, услуг для обеспечения государственных или муниципальных нужд участниками таких закупок, являющимися иностранными лицами»</w:t>
      </w:r>
      <w:r>
        <w:rPr>
          <w:rFonts w:ascii="Times New Roman" w:hAnsi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854"/>
        <w:ind w:firstLine="0"/>
        <w:jc w:val="both"/>
      </w:pPr>
      <w:r>
        <w:rPr>
          <w:rFonts w:ascii="Times New Roman" w:hAnsi="Times New Roman"/>
          <w:b/>
          <w:sz w:val="24"/>
          <w:szCs w:val="24"/>
        </w:rPr>
        <w:t xml:space="preserve">1</w:t>
      </w:r>
      <w:r>
        <w:rPr>
          <w:rFonts w:ascii="Times New Roman" w:hAnsi="Times New Roman"/>
          <w:b/>
          <w:sz w:val="24"/>
          <w:szCs w:val="24"/>
        </w:rPr>
        <w:t xml:space="preserve">3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Размер обеспечения исполнения кон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тракта</w:t>
      </w:r>
      <w:r>
        <w:rPr>
          <w:rFonts w:ascii="Times New Roman" w:hAnsi="Times New Roman"/>
          <w:b/>
          <w:bCs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cs="Times New Roman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30% от цены контракта.</w:t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</w:t>
      </w:r>
      <w:r>
        <w:rPr>
          <w:rFonts w:ascii="Times New Roman" w:hAnsi="Times New Roman"/>
          <w:b/>
          <w:sz w:val="24"/>
          <w:szCs w:val="24"/>
        </w:rPr>
        <w:t xml:space="preserve">4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Порядок обеспечения исполнения контракта, требование к о</w:t>
      </w:r>
      <w:r>
        <w:rPr>
          <w:rFonts w:ascii="Times New Roman" w:hAnsi="Times New Roman"/>
          <w:b/>
          <w:bCs/>
          <w:sz w:val="24"/>
          <w:szCs w:val="24"/>
        </w:rPr>
        <w:t xml:space="preserve">беспечению:</w:t>
      </w:r>
      <w:r>
        <w:rPr>
          <w:rFonts w:ascii="Times New Roman" w:hAnsi="Times New Roman"/>
          <w:sz w:val="24"/>
          <w:szCs w:val="24"/>
        </w:rPr>
        <w:t xml:space="preserve"> в соответствии с </w:t>
      </w:r>
      <w:r>
        <w:rPr>
          <w:rFonts w:ascii="Times New Roman" w:hAnsi="Times New Roman"/>
          <w:sz w:val="24"/>
          <w:szCs w:val="24"/>
        </w:rPr>
        <w:t xml:space="preserve">п.</w:t>
      </w:r>
      <w:r>
        <w:rPr>
          <w:rFonts w:ascii="Times New Roman" w:hAnsi="Times New Roman"/>
          <w:sz w:val="24"/>
          <w:szCs w:val="24"/>
        </w:rPr>
        <w:t xml:space="preserve">9 муниципального контракта «Обеспечение исполнения контракта»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Платежные реквизиты: </w:t>
      </w: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Департамент финансов </w:t>
      </w:r>
      <w:r>
        <w:rPr>
          <w:rFonts w:ascii="Times New Roman" w:hAnsi="Times New Roman"/>
          <w:sz w:val="24"/>
          <w:szCs w:val="24"/>
        </w:rPr>
        <w:t xml:space="preserve">г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Новгорода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администрация Автозаводского района города Нижнего Новгорода,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л/</w:t>
      </w:r>
      <w:r>
        <w:rPr>
          <w:rFonts w:ascii="Times New Roman" w:hAnsi="Times New Roman"/>
          <w:sz w:val="24"/>
          <w:szCs w:val="24"/>
        </w:rPr>
        <w:t xml:space="preserve">сч</w:t>
      </w:r>
      <w:r>
        <w:rPr>
          <w:rFonts w:ascii="Times New Roman" w:hAnsi="Times New Roman"/>
          <w:sz w:val="24"/>
          <w:szCs w:val="24"/>
        </w:rPr>
        <w:t xml:space="preserve"> 05174871002)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ИНН 5256008671, КПП 525601001</w:t>
      </w: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844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ОКЦ №1 ВВГУ Банка России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//УФК по Нижегородской области, г Нижний Новгород</w:t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БИК 012202102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Кор</w:t>
      </w:r>
      <w:r>
        <w:rPr>
          <w:rFonts w:ascii="Times New Roman" w:hAnsi="Times New Roman"/>
          <w:sz w:val="24"/>
          <w:szCs w:val="24"/>
        </w:rPr>
        <w:t xml:space="preserve">.с</w:t>
      </w:r>
      <w:r>
        <w:rPr>
          <w:rFonts w:ascii="Times New Roman" w:hAnsi="Times New Roman"/>
          <w:sz w:val="24"/>
          <w:szCs w:val="24"/>
        </w:rPr>
        <w:t xml:space="preserve">чет</w:t>
      </w:r>
      <w:r>
        <w:rPr>
          <w:rFonts w:ascii="Times New Roman" w:hAnsi="Times New Roman"/>
          <w:sz w:val="24"/>
          <w:szCs w:val="24"/>
        </w:rPr>
        <w:t xml:space="preserve">: 40102810745370000024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</w:t>
      </w:r>
      <w:r>
        <w:rPr>
          <w:rFonts w:ascii="Times New Roman" w:hAnsi="Times New Roman"/>
          <w:sz w:val="24"/>
          <w:szCs w:val="24"/>
        </w:rPr>
        <w:t xml:space="preserve">/</w:t>
      </w:r>
      <w:r>
        <w:rPr>
          <w:rFonts w:ascii="Times New Roman" w:hAnsi="Times New Roman"/>
          <w:sz w:val="24"/>
          <w:szCs w:val="24"/>
        </w:rPr>
        <w:t xml:space="preserve">сч</w:t>
      </w:r>
      <w:r>
        <w:rPr>
          <w:rFonts w:ascii="Times New Roman" w:hAnsi="Times New Roman"/>
          <w:sz w:val="24"/>
          <w:szCs w:val="24"/>
        </w:rPr>
        <w:t xml:space="preserve"> № 03232643227010003200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eastAsia="Arial"/>
          <w:bCs/>
          <w:i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/>
          <w:sz w:val="24"/>
          <w:szCs w:val="24"/>
        </w:rPr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/>
          <w:iCs/>
          <w:vanish w:val="0"/>
          <w:color w:val="000000" w:themeColor="text1"/>
          <w:sz w:val="24"/>
          <w:szCs w:val="24"/>
          <w:highlight w:val="none"/>
          <w:rtl w:val="0"/>
          <w:cs w:val="0"/>
        </w:rPr>
        <w:t xml:space="preserve">В назначении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vanish w:val="0"/>
          <w:color w:val="000000" w:themeColor="text1"/>
          <w:sz w:val="24"/>
          <w:szCs w:val="24"/>
          <w:highlight w:val="none"/>
          <w:rtl w:val="0"/>
          <w:cs w:val="0"/>
        </w:rPr>
        <w:t xml:space="preserve">платежа указывается: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vanish w:val="0"/>
          <w:color w:val="000000" w:themeColor="text1"/>
          <w:sz w:val="24"/>
          <w:szCs w:val="24"/>
          <w:highlight w:val="none"/>
          <w:rtl w:val="0"/>
          <w:cs w:val="0"/>
        </w:rPr>
        <w:t xml:space="preserve">ИКЗ </w:t>
      </w:r>
      <w:r>
        <w:rPr>
          <w:rFonts w:ascii="Times New Roman" w:hAnsi="Times New Roman"/>
          <w:b w:val="0"/>
          <w:bCs w:val="0"/>
          <w:i/>
          <w:iCs/>
          <w:color w:val="000000"/>
          <w:sz w:val="24"/>
          <w:szCs w:val="24"/>
        </w:rPr>
        <w:t xml:space="preserve">263525600867152560100100980023320244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4"/>
          <w:szCs w:val="24"/>
          <w:highlight w:val="none"/>
        </w:rPr>
        <w:t xml:space="preserve">//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4"/>
          <w:szCs w:val="24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aps w:val="0"/>
          <w:smallCaps w:val="0"/>
          <w:strike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14:ligatures w14:val="non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aps w:val="0"/>
          <w:smallCaps w:val="0"/>
          <w:strike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14:ligatures w14:val="none"/>
        </w:rPr>
        <w:t xml:space="preserve">есение денежных средств в качестве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aps w:val="0"/>
          <w:smallCaps w:val="0"/>
          <w:strike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14:ligatures w14:val="non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  <w:t xml:space="preserve">беспечения исполнения контракта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 на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 в</w:t>
      </w:r>
      <w:r>
        <w:rPr>
          <w:rFonts w:ascii="Times New Roman" w:hAnsi="Times New Roman" w:eastAsia="Arial"/>
          <w:i/>
          <w:iCs/>
          <w:color w:val="000000"/>
          <w:sz w:val="24"/>
          <w:szCs w:val="24"/>
          <w:lang w:eastAsia="ru-RU"/>
        </w:rPr>
        <w:t xml:space="preserve">ыполнение работ </w:t>
      </w:r>
      <w:r>
        <w:rPr>
          <w:rFonts w:ascii="Times New Roman" w:hAnsi="Times New Roman" w:eastAsia="Arial"/>
          <w:i/>
          <w:iCs/>
          <w:color w:val="000000"/>
          <w:sz w:val="24"/>
          <w:szCs w:val="24"/>
          <w:lang w:eastAsia="ru-RU"/>
        </w:rPr>
        <w:t xml:space="preserve">по комплексному благоустройству общественной территории: «Парк им. 777-летия города Нижнего Новгорода» в Автозаводском районе города Нижнего Новгорода  (2-я очередь).  Создание системы видеонаблюдения,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заключаемого по результатам процедуры проведения открытого аукциона в электронной форме, прот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окол от _______________№______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.</w:t>
      </w:r>
      <w:r>
        <w:rPr>
          <w:rFonts w:ascii="Times New Roman" w:hAnsi="Times New Roman" w:eastAsia="Arial"/>
          <w:bCs/>
          <w:i/>
          <w:color w:val="000000"/>
          <w:sz w:val="24"/>
          <w:szCs w:val="24"/>
          <w:highlight w:val="none"/>
        </w:rPr>
      </w:r>
      <w:r>
        <w:rPr>
          <w:rFonts w:ascii="Times New Roman" w:hAnsi="Times New Roman" w:eastAsia="Arial"/>
          <w:bCs/>
          <w:i/>
          <w:color w:val="000000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14:ligatures w14:val="none"/>
        </w:rPr>
      </w:pPr>
      <w:r>
        <w:rPr>
          <w:rFonts w:ascii="Times New Roman" w:hAnsi="Times New Roman" w:eastAsia="Arial"/>
          <w:b/>
          <w:bCs/>
          <w:i w:val="0"/>
          <w:iCs w:val="0"/>
          <w:color w:val="000000"/>
          <w:sz w:val="24"/>
          <w:szCs w:val="24"/>
          <w:highlight w:val="none"/>
        </w:rPr>
        <w:t xml:space="preserve">15. Обеспечение гарантийных обязательств:</w:t>
      </w:r>
      <w:r>
        <w:rPr>
          <w:rFonts w:ascii="Times New Roman" w:hAnsi="Times New Roman" w:eastAsia="Arial"/>
          <w:i w:val="0"/>
          <w:iCs w:val="0"/>
          <w:color w:val="000000"/>
          <w:sz w:val="24"/>
          <w:szCs w:val="24"/>
          <w:highlight w:val="none"/>
        </w:rPr>
        <w:t xml:space="preserve"> 1</w:t>
      </w:r>
      <w:r>
        <w:rPr>
          <w:rFonts w:ascii="Times New Roman" w:hAnsi="Times New Roman" w:eastAsia="Arial"/>
          <w:i w:val="0"/>
          <w:iCs w:val="0"/>
          <w:color w:val="000000"/>
          <w:sz w:val="24"/>
          <w:szCs w:val="24"/>
          <w:highlight w:val="none"/>
        </w:rPr>
        <w:t xml:space="preserve">0%</w:t>
      </w:r>
      <w:r>
        <w:rPr>
          <w:rFonts w:ascii="Times New Roman" w:hAnsi="Times New Roman" w:eastAsia="Arial"/>
          <w:i w:val="0"/>
          <w:iCs w:val="0"/>
          <w:color w:val="000000"/>
          <w:sz w:val="24"/>
          <w:szCs w:val="24"/>
          <w:highlight w:val="none"/>
        </w:rPr>
        <w:t xml:space="preserve"> от начальной (максимальной) цены контракта,                            552 409 (пятьсот пятьдесят две тысячи четыреста девять) рублей 15 копеек. </w:t>
      </w:r>
      <w:r>
        <w:rPr>
          <w:rFonts w:ascii="Times New Roman" w:hAnsi="Times New Roman" w:eastAsia="Arial"/>
          <w:i w:val="0"/>
          <w:iCs w:val="0"/>
          <w:color w:val="000000"/>
          <w:sz w:val="24"/>
          <w:szCs w:val="24"/>
          <w:highlight w:val="none"/>
        </w:rPr>
        <w:t xml:space="preserve">Обеспечение гарантийных обязательств по контракту может обеспечиваться предоставлением независимой гарантии, соответствующей требованиям статьи 45 Федерального закона от 05.04.2013 № 44-ФЗ, или </w:t>
      </w:r>
      <w:r>
        <w:rPr>
          <w:rFonts w:ascii="Times New Roman" w:hAnsi="Times New Roman"/>
          <w:sz w:val="24"/>
          <w:szCs w:val="24"/>
        </w:rPr>
        <w:t xml:space="preserve">внесением денежных средств на указанный заказчиком счет, на кот</w:t>
      </w:r>
      <w:r>
        <w:rPr>
          <w:rFonts w:ascii="Times New Roman" w:hAnsi="Times New Roman"/>
          <w:sz w:val="24"/>
          <w:szCs w:val="24"/>
        </w:rPr>
        <w:t xml:space="preserve">ором в соответствии с законодательством Российской Федерации учитываются операции со средствами, поступающими заказчику. </w:t>
      </w:r>
      <w:r>
        <w:rPr>
          <w:rFonts w:ascii="Times New Roman" w:hAnsi="Times New Roman"/>
          <w14:ligatures w14:val="none"/>
        </w:rPr>
      </w:r>
      <w:r>
        <w:rPr>
          <w:rFonts w:ascii="Times New Roman" w:hAnsi="Times New Roman"/>
          <w14:ligatures w14:val="none"/>
        </w:rPr>
      </w:r>
    </w:p>
    <w:p>
      <w:pPr>
        <w:jc w:val="both"/>
        <w:spacing w:after="0" w:line="240" w:lineRule="auto"/>
        <w:rPr>
          <w:rFonts w:ascii="Times New Roman" w:hAnsi="Times New Roman"/>
          <w14:ligatures w14:val="none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Платежные реквизиты: </w:t>
      </w:r>
      <w:r>
        <w:rPr>
          <w:rFonts w:ascii="Times New Roman" w:hAnsi="Times New Roman"/>
          <w14:ligatures w14:val="none"/>
        </w:rPr>
      </w:r>
      <w:r>
        <w:rPr>
          <w:rFonts w:ascii="Times New Roman" w:hAnsi="Times New Roman"/>
          <w14:ligatures w14:val="none"/>
        </w:rPr>
      </w:r>
    </w:p>
    <w:p>
      <w:pPr>
        <w:jc w:val="both"/>
        <w:spacing w:after="0" w:line="240" w:lineRule="auto"/>
        <w:rPr>
          <w:rFonts w:ascii="Times New Roman" w:hAnsi="Times New Roman"/>
          <w:lang w:eastAsia="ru-RU"/>
          <w14:ligatures w14:val="none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Департамен</w:t>
      </w:r>
      <w:r>
        <w:rPr>
          <w:rFonts w:ascii="Times New Roman" w:hAnsi="Times New Roman"/>
          <w:sz w:val="24"/>
          <w:szCs w:val="24"/>
          <w:lang w:eastAsia="ru-RU"/>
        </w:rPr>
        <w:t xml:space="preserve">т финансов г. Н. Новгорода (администрация Автозаводского района города Нижнего Новгорода, л/сч 05174871002)</w:t>
      </w:r>
      <w:r>
        <w:rPr>
          <w:rFonts w:ascii="Times New Roman" w:hAnsi="Times New Roman"/>
          <w:lang w:eastAsia="ru-RU"/>
          <w14:ligatures w14:val="none"/>
        </w:rPr>
      </w:r>
      <w:r>
        <w:rPr>
          <w:rFonts w:ascii="Times New Roman" w:hAnsi="Times New Roman"/>
          <w:lang w:eastAsia="ru-RU"/>
          <w14:ligatures w14:val="none"/>
        </w:rPr>
      </w:r>
    </w:p>
    <w:p>
      <w:pPr>
        <w:jc w:val="both"/>
        <w:spacing w:after="0" w:line="240" w:lineRule="auto"/>
        <w:rPr>
          <w:rFonts w:ascii="Times New Roman" w:hAnsi="Times New Roman"/>
          <w:lang w:eastAsia="ru-RU"/>
          <w14:ligatures w14:val="none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ИНН 5256008671, КПП 525601001</w:t>
      </w:r>
      <w:r>
        <w:rPr>
          <w:rFonts w:ascii="Times New Roman" w:hAnsi="Times New Roman"/>
          <w:lang w:eastAsia="ru-RU"/>
          <w14:ligatures w14:val="none"/>
        </w:rPr>
      </w:r>
      <w:r>
        <w:rPr>
          <w:rFonts w:ascii="Times New Roman" w:hAnsi="Times New Roman"/>
          <w:lang w:eastAsia="ru-RU"/>
          <w14:ligatures w14:val="none"/>
        </w:rPr>
      </w:r>
    </w:p>
    <w:p>
      <w:pPr>
        <w:jc w:val="both"/>
        <w:spacing w:after="0" w:line="240" w:lineRule="auto"/>
        <w:rPr>
          <w:rFonts w:ascii="Times New Roman" w:hAnsi="Times New Roman"/>
          <w:lang w:eastAsia="ru-RU"/>
          <w14:ligatures w14:val="none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ОКЦ №1 ВВГУ Банка России//УФК по Нижегородской области, г Нижний Новгород</w:t>
      </w:r>
      <w:r>
        <w:rPr>
          <w:rFonts w:ascii="Times New Roman" w:hAnsi="Times New Roman"/>
          <w:lang w:eastAsia="ru-RU"/>
          <w14:ligatures w14:val="none"/>
        </w:rPr>
      </w:r>
      <w:r>
        <w:rPr>
          <w:rFonts w:ascii="Times New Roman" w:hAnsi="Times New Roman"/>
          <w:lang w:eastAsia="ru-RU"/>
          <w14:ligatures w14:val="none"/>
        </w:rPr>
      </w:r>
    </w:p>
    <w:p>
      <w:pPr>
        <w:jc w:val="both"/>
        <w:spacing w:after="0" w:line="240" w:lineRule="auto"/>
        <w:rPr>
          <w:rFonts w:ascii="Times New Roman" w:hAnsi="Times New Roman"/>
          <w:lang w:eastAsia="ru-RU"/>
          <w14:ligatures w14:val="none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БИК 012202102</w:t>
      </w:r>
      <w:r>
        <w:rPr>
          <w:rFonts w:ascii="Times New Roman" w:hAnsi="Times New Roman"/>
          <w:lang w:eastAsia="ru-RU"/>
          <w14:ligatures w14:val="none"/>
        </w:rPr>
      </w:r>
      <w:r>
        <w:rPr>
          <w:rFonts w:ascii="Times New Roman" w:hAnsi="Times New Roman"/>
          <w:lang w:eastAsia="ru-RU"/>
          <w14:ligatures w14:val="none"/>
        </w:rPr>
      </w:r>
    </w:p>
    <w:p>
      <w:pPr>
        <w:jc w:val="both"/>
        <w:spacing w:after="0" w:line="240" w:lineRule="auto"/>
        <w:rPr>
          <w:rFonts w:ascii="Times New Roman" w:hAnsi="Times New Roman"/>
          <w:lang w:eastAsia="ru-RU"/>
          <w14:ligatures w14:val="none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Кор.счет: 40102810745370000024</w:t>
      </w:r>
      <w:r>
        <w:rPr>
          <w:rFonts w:ascii="Times New Roman" w:hAnsi="Times New Roman"/>
          <w:lang w:eastAsia="ru-RU"/>
          <w14:ligatures w14:val="none"/>
        </w:rPr>
      </w:r>
      <w:r>
        <w:rPr>
          <w:rFonts w:ascii="Times New Roman" w:hAnsi="Times New Roman"/>
          <w:lang w:eastAsia="ru-RU"/>
          <w14:ligatures w14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highlight w:val="none"/>
          <w:lang w:eastAsia="ru-RU"/>
          <w14:ligatures w14:val="none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р/сч № 03232643227010003200</w:t>
      </w:r>
      <w:r>
        <w:rPr>
          <w:rFonts w:ascii="Times New Roman" w:hAnsi="Times New Roman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none"/>
          <w:lang w:eastAsia="ru-RU"/>
          <w14:ligatures w14:val="none"/>
        </w:rPr>
      </w:r>
    </w:p>
    <w:p>
      <w:pPr>
        <w:jc w:val="both"/>
        <w:spacing w:line="240" w:lineRule="auto"/>
        <w:rPr>
          <w:rFonts w:ascii="Times New Roman" w:hAnsi="Times New Roman" w:eastAsia="Times New Roman" w:cs="Times New Roman"/>
          <w:bCs/>
          <w:i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В назначении платежа указывается:                                                                                    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  <w14:ligatures w14:val="none"/>
        </w:rPr>
      </w:r>
    </w:p>
    <w:p>
      <w:pPr>
        <w:jc w:val="both"/>
        <w:spacing w:line="240" w:lineRule="auto"/>
        <w:rPr>
          <w:rFonts w:ascii="Times New Roman" w:hAnsi="Times New Roman" w:eastAsia="Times New Roman" w:cs="Times New Roman"/>
          <w:bCs/>
          <w:i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КЗ  </w:t>
      </w:r>
      <w:r>
        <w:rPr>
          <w:rFonts w:ascii="Times New Roman" w:hAnsi="Times New Roman"/>
          <w:b w:val="0"/>
          <w:bCs w:val="0"/>
          <w:i/>
          <w:iCs/>
          <w:color w:val="000000"/>
          <w:sz w:val="24"/>
          <w:szCs w:val="24"/>
        </w:rPr>
        <w:t xml:space="preserve">263525600867152560100100980023320244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//внесение денежных средств в качестве обеспечения гарантийных обязательств по контракт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у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 в</w:t>
      </w:r>
      <w:r>
        <w:rPr>
          <w:rFonts w:ascii="Times New Roman" w:hAnsi="Times New Roman" w:eastAsia="Arial"/>
          <w:i/>
          <w:iCs/>
          <w:color w:val="000000"/>
          <w:sz w:val="24"/>
          <w:szCs w:val="24"/>
          <w:lang w:eastAsia="ru-RU"/>
        </w:rPr>
        <w:t xml:space="preserve">ыполнение работ </w:t>
      </w:r>
      <w:r>
        <w:rPr>
          <w:rFonts w:ascii="Times New Roman" w:hAnsi="Times New Roman" w:eastAsia="Arial"/>
          <w:i/>
          <w:iCs/>
          <w:color w:val="000000"/>
          <w:sz w:val="24"/>
          <w:szCs w:val="24"/>
          <w:lang w:eastAsia="ru-RU"/>
        </w:rPr>
        <w:t xml:space="preserve">по комплексному благоустройству общественной территории: «Парк им. 777-летия города Нижнего Новгорода» в Автозаводском районе города Нижнего Новгорода  (2-я очередь).  Создание системы видеонаблюдения,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 заключаемому по результатам процедуры проведения открытого аукциона в электронной форме, протокол от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 ________ № __________».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  <w14:ligatures w14:val="none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16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Информация о возможности одностороннего отказа от исполнения контракта в соответствии со статьей 95</w:t>
      </w:r>
      <w:r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 Федерального закона от 05.04.2013 № 44-ФЗ: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 предусмотрена возможность одностороннего отказа от исполнения контракта в соответствии с положениями ч.8-23 и 25 ст.95 Федерального закона от 05.04.2013 № 44-ФЗ.</w:t>
      </w:r>
      <w:r>
        <w:rPr>
          <w:rFonts w:ascii="Times New Roman" w:hAnsi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/>
          <w:color w:val="000000"/>
          <w:spacing w:val="-1"/>
          <w:sz w:val="24"/>
          <w:szCs w:val="24"/>
        </w:rPr>
      </w:r>
    </w:p>
    <w:sectPr>
      <w:footnotePr/>
      <w:endnotePr/>
      <w:type w:val="nextPage"/>
      <w:pgSz w:w="11906" w:h="16838" w:orient="portrait"/>
      <w:pgMar w:top="567" w:right="517" w:bottom="709" w:left="1018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3020204"/>
  </w:font>
  <w:font w:name="Tahoma">
    <w:panose1 w:val="020B0604030504040204"/>
  </w:font>
  <w:font w:name="SimSun">
    <w:panose1 w:val="02000506000000020000"/>
  </w:font>
  <w:font w:name="Mangal">
    <w:panose1 w:val="02040503050406030204"/>
  </w:font>
  <w:font w:name="Liberation Sans">
    <w:panose1 w:val="020B0604020202020204"/>
  </w:font>
  <w:font w:name="Calibri">
    <w:panose1 w:val="020F0502020204030204"/>
  </w:font>
  <w:font w:name="Microsoft YaHei">
    <w:panose1 w:val="020B0503020203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7">
    <w:name w:val="Heading 1 Char"/>
    <w:basedOn w:val="829"/>
    <w:link w:val="828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27"/>
    <w:next w:val="827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29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27"/>
    <w:next w:val="827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29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27"/>
    <w:next w:val="827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29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27"/>
    <w:next w:val="827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29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27"/>
    <w:next w:val="827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29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27"/>
    <w:next w:val="827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29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27"/>
    <w:next w:val="827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29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27"/>
    <w:next w:val="827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29"/>
    <w:link w:val="672"/>
    <w:uiPriority w:val="9"/>
    <w:rPr>
      <w:rFonts w:ascii="Arial" w:hAnsi="Arial" w:eastAsia="Arial" w:cs="Arial"/>
      <w:i/>
      <w:iCs/>
      <w:sz w:val="21"/>
      <w:szCs w:val="21"/>
    </w:rPr>
  </w:style>
  <w:style w:type="character" w:styleId="674">
    <w:name w:val="Title Char"/>
    <w:basedOn w:val="829"/>
    <w:link w:val="835"/>
    <w:uiPriority w:val="10"/>
    <w:rPr>
      <w:sz w:val="48"/>
      <w:szCs w:val="48"/>
    </w:rPr>
  </w:style>
  <w:style w:type="paragraph" w:styleId="675">
    <w:name w:val="Subtitle"/>
    <w:basedOn w:val="827"/>
    <w:next w:val="827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29"/>
    <w:link w:val="675"/>
    <w:uiPriority w:val="11"/>
    <w:rPr>
      <w:sz w:val="24"/>
      <w:szCs w:val="24"/>
    </w:rPr>
  </w:style>
  <w:style w:type="paragraph" w:styleId="677">
    <w:name w:val="Quote"/>
    <w:basedOn w:val="827"/>
    <w:next w:val="827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7"/>
    <w:next w:val="827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character" w:styleId="681">
    <w:name w:val="Header Char"/>
    <w:basedOn w:val="829"/>
    <w:link w:val="840"/>
    <w:uiPriority w:val="99"/>
  </w:style>
  <w:style w:type="character" w:styleId="682">
    <w:name w:val="Footer Char"/>
    <w:basedOn w:val="829"/>
    <w:link w:val="841"/>
    <w:uiPriority w:val="99"/>
  </w:style>
  <w:style w:type="character" w:styleId="683">
    <w:name w:val="Caption Char"/>
    <w:basedOn w:val="838"/>
    <w:link w:val="841"/>
    <w:uiPriority w:val="99"/>
  </w:style>
  <w:style w:type="table" w:styleId="684">
    <w:name w:val="Table Grid Light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5">
    <w:name w:val="Plain Table 1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6">
    <w:name w:val="Plain Table 2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8">
    <w:name w:val="Plain Table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Plain Table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0">
    <w:name w:val="Grid Table 1 Light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4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2">
    <w:name w:val="Grid Table 4 - Accent 1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3">
    <w:name w:val="Grid Table 4 - Accent 2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4">
    <w:name w:val="Grid Table 4 - Accent 3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5">
    <w:name w:val="Grid Table 4 - Accent 4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6">
    <w:name w:val="Grid Table 4 - Accent 5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7">
    <w:name w:val="Grid Table 4 - Accent 6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8">
    <w:name w:val="Grid Table 5 Dark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9">
    <w:name w:val="Grid Table 5 Dark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5">
    <w:name w:val="Grid Table 6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6">
    <w:name w:val="Grid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7">
    <w:name w:val="Grid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8">
    <w:name w:val="Grid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9">
    <w:name w:val="Grid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0">
    <w:name w:val="Grid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1">
    <w:name w:val="Grid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7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7">
    <w:name w:val="List Table 2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8">
    <w:name w:val="List Table 2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9">
    <w:name w:val="List Table 2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0">
    <w:name w:val="List Table 2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1">
    <w:name w:val="List Table 2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2">
    <w:name w:val="List Table 2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3">
    <w:name w:val="List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5 Dark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6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5">
    <w:name w:val="List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6">
    <w:name w:val="List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List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8">
    <w:name w:val="List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List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0">
    <w:name w:val="List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1">
    <w:name w:val="List Table 7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2">
    <w:name w:val="List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3">
    <w:name w:val="List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4">
    <w:name w:val="List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5">
    <w:name w:val="List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6">
    <w:name w:val="List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87">
    <w:name w:val="List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8">
    <w:name w:val="Lined - Accent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9">
    <w:name w:val="Lined - Accent 1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0">
    <w:name w:val="Lined - Accent 2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1">
    <w:name w:val="Lined - Accent 3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2">
    <w:name w:val="Lined - Accent 4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3">
    <w:name w:val="Lined - Accent 5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4">
    <w:name w:val="Lined - Accent 6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5">
    <w:name w:val="Bordered &amp; Lined - Accent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Bordered &amp; Lined - Accent 1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Bordered &amp; Lined - Accent 2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Bordered &amp; Lined - Accent 3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Bordered &amp; Lined - Accent 4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Bordered &amp; Lined - Accent 5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Bordered &amp; Lined - Accent 6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3">
    <w:name w:val="Bordered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4">
    <w:name w:val="Bordered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5">
    <w:name w:val="Bordered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6">
    <w:name w:val="Bordered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7">
    <w:name w:val="Bordered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8">
    <w:name w:val="Bordered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9">
    <w:name w:val="Hyperlink"/>
    <w:uiPriority w:val="99"/>
    <w:unhideWhenUsed/>
    <w:rPr>
      <w:color w:val="0000ff" w:themeColor="hyperlink"/>
      <w:u w:val="single"/>
    </w:rPr>
  </w:style>
  <w:style w:type="paragraph" w:styleId="810">
    <w:name w:val="footnote text"/>
    <w:basedOn w:val="827"/>
    <w:link w:val="811"/>
    <w:uiPriority w:val="99"/>
    <w:semiHidden/>
    <w:unhideWhenUsed/>
    <w:pPr>
      <w:spacing w:after="40" w:line="240" w:lineRule="auto"/>
    </w:pPr>
    <w:rPr>
      <w:sz w:val="18"/>
    </w:rPr>
  </w:style>
  <w:style w:type="character" w:styleId="811">
    <w:name w:val="Footnote Text Char"/>
    <w:link w:val="810"/>
    <w:uiPriority w:val="99"/>
    <w:rPr>
      <w:sz w:val="18"/>
    </w:rPr>
  </w:style>
  <w:style w:type="character" w:styleId="812">
    <w:name w:val="footnote reference"/>
    <w:basedOn w:val="829"/>
    <w:uiPriority w:val="99"/>
    <w:unhideWhenUsed/>
    <w:rPr>
      <w:vertAlign w:val="superscript"/>
    </w:rPr>
  </w:style>
  <w:style w:type="paragraph" w:styleId="813">
    <w:name w:val="endnote text"/>
    <w:basedOn w:val="827"/>
    <w:link w:val="814"/>
    <w:uiPriority w:val="99"/>
    <w:semiHidden/>
    <w:unhideWhenUsed/>
    <w:pPr>
      <w:spacing w:after="0" w:line="240" w:lineRule="auto"/>
    </w:pPr>
    <w:rPr>
      <w:sz w:val="20"/>
    </w:rPr>
  </w:style>
  <w:style w:type="character" w:styleId="814">
    <w:name w:val="Endnote Text Char"/>
    <w:link w:val="813"/>
    <w:uiPriority w:val="99"/>
    <w:rPr>
      <w:sz w:val="20"/>
    </w:rPr>
  </w:style>
  <w:style w:type="character" w:styleId="815">
    <w:name w:val="endnote reference"/>
    <w:basedOn w:val="829"/>
    <w:uiPriority w:val="99"/>
    <w:semiHidden/>
    <w:unhideWhenUsed/>
    <w:rPr>
      <w:vertAlign w:val="superscript"/>
    </w:rPr>
  </w:style>
  <w:style w:type="paragraph" w:styleId="816">
    <w:name w:val="toc 1"/>
    <w:basedOn w:val="827"/>
    <w:next w:val="827"/>
    <w:uiPriority w:val="39"/>
    <w:unhideWhenUsed/>
    <w:pPr>
      <w:ind w:left="0" w:right="0" w:firstLine="0"/>
      <w:spacing w:after="57"/>
    </w:pPr>
  </w:style>
  <w:style w:type="paragraph" w:styleId="817">
    <w:name w:val="toc 2"/>
    <w:basedOn w:val="827"/>
    <w:next w:val="827"/>
    <w:uiPriority w:val="39"/>
    <w:unhideWhenUsed/>
    <w:pPr>
      <w:ind w:left="283" w:right="0" w:firstLine="0"/>
      <w:spacing w:after="57"/>
    </w:pPr>
  </w:style>
  <w:style w:type="paragraph" w:styleId="818">
    <w:name w:val="toc 3"/>
    <w:basedOn w:val="827"/>
    <w:next w:val="827"/>
    <w:uiPriority w:val="39"/>
    <w:unhideWhenUsed/>
    <w:pPr>
      <w:ind w:left="567" w:right="0" w:firstLine="0"/>
      <w:spacing w:after="57"/>
    </w:pPr>
  </w:style>
  <w:style w:type="paragraph" w:styleId="819">
    <w:name w:val="toc 4"/>
    <w:basedOn w:val="827"/>
    <w:next w:val="827"/>
    <w:uiPriority w:val="39"/>
    <w:unhideWhenUsed/>
    <w:pPr>
      <w:ind w:left="850" w:right="0" w:firstLine="0"/>
      <w:spacing w:after="57"/>
    </w:pPr>
  </w:style>
  <w:style w:type="paragraph" w:styleId="820">
    <w:name w:val="toc 5"/>
    <w:basedOn w:val="827"/>
    <w:next w:val="827"/>
    <w:uiPriority w:val="39"/>
    <w:unhideWhenUsed/>
    <w:pPr>
      <w:ind w:left="1134" w:right="0" w:firstLine="0"/>
      <w:spacing w:after="57"/>
    </w:pPr>
  </w:style>
  <w:style w:type="paragraph" w:styleId="821">
    <w:name w:val="toc 6"/>
    <w:basedOn w:val="827"/>
    <w:next w:val="827"/>
    <w:uiPriority w:val="39"/>
    <w:unhideWhenUsed/>
    <w:pPr>
      <w:ind w:left="1417" w:right="0" w:firstLine="0"/>
      <w:spacing w:after="57"/>
    </w:pPr>
  </w:style>
  <w:style w:type="paragraph" w:styleId="822">
    <w:name w:val="toc 7"/>
    <w:basedOn w:val="827"/>
    <w:next w:val="827"/>
    <w:uiPriority w:val="39"/>
    <w:unhideWhenUsed/>
    <w:pPr>
      <w:ind w:left="1701" w:right="0" w:firstLine="0"/>
      <w:spacing w:after="57"/>
    </w:pPr>
  </w:style>
  <w:style w:type="paragraph" w:styleId="823">
    <w:name w:val="toc 8"/>
    <w:basedOn w:val="827"/>
    <w:next w:val="827"/>
    <w:uiPriority w:val="39"/>
    <w:unhideWhenUsed/>
    <w:pPr>
      <w:ind w:left="1984" w:right="0" w:firstLine="0"/>
      <w:spacing w:after="57"/>
    </w:pPr>
  </w:style>
  <w:style w:type="paragraph" w:styleId="824">
    <w:name w:val="toc 9"/>
    <w:basedOn w:val="827"/>
    <w:next w:val="827"/>
    <w:uiPriority w:val="39"/>
    <w:unhideWhenUsed/>
    <w:pPr>
      <w:ind w:left="2268" w:right="0" w:firstLine="0"/>
      <w:spacing w:after="57"/>
    </w:pPr>
  </w:style>
  <w:style w:type="paragraph" w:styleId="825">
    <w:name w:val="TOC Heading"/>
    <w:uiPriority w:val="39"/>
    <w:unhideWhenUsed/>
  </w:style>
  <w:style w:type="paragraph" w:styleId="826">
    <w:name w:val="table of figures"/>
    <w:basedOn w:val="827"/>
    <w:next w:val="827"/>
    <w:uiPriority w:val="99"/>
    <w:unhideWhenUsed/>
    <w:pPr>
      <w:spacing w:after="0" w:afterAutospacing="0"/>
    </w:pPr>
  </w:style>
  <w:style w:type="paragraph" w:styleId="827" w:default="1">
    <w:name w:val="Normal"/>
    <w:qFormat/>
    <w:pPr>
      <w:spacing w:after="200" w:line="276" w:lineRule="auto"/>
    </w:pPr>
    <w:rPr>
      <w:rFonts w:eastAsia="Times New Roman" w:cs="Times New Roman"/>
      <w:color w:val="00000a"/>
      <w:sz w:val="22"/>
    </w:rPr>
  </w:style>
  <w:style w:type="paragraph" w:styleId="828">
    <w:name w:val="Heading 1"/>
    <w:basedOn w:val="827"/>
    <w:next w:val="827"/>
    <w:link w:val="848"/>
    <w:qFormat/>
    <w:pPr>
      <w:keepLines/>
      <w:keepNext/>
      <w:spacing w:before="480" w:after="0" w:line="240" w:lineRule="auto"/>
      <w:outlineLvl w:val="0"/>
    </w:pPr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829" w:default="1">
    <w:name w:val="Default Paragraph Font"/>
    <w:uiPriority w:val="1"/>
    <w:semiHidden/>
    <w:unhideWhenUsed/>
  </w:style>
  <w:style w:type="table" w:styleId="83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1" w:default="1">
    <w:name w:val="No List"/>
    <w:uiPriority w:val="99"/>
    <w:semiHidden/>
    <w:unhideWhenUsed/>
  </w:style>
  <w:style w:type="character" w:styleId="832" w:customStyle="1">
    <w:name w:val="Верхний колонтитул Знак"/>
    <w:basedOn w:val="829"/>
    <w:uiPriority w:val="99"/>
    <w:qFormat/>
    <w:rPr>
      <w:rFonts w:ascii="Calibri" w:hAnsi="Calibri" w:eastAsia="Times New Roman" w:cs="Times New Roman"/>
    </w:rPr>
  </w:style>
  <w:style w:type="character" w:styleId="833" w:customStyle="1">
    <w:name w:val="Нижний колонтитул Знак"/>
    <w:basedOn w:val="829"/>
    <w:uiPriority w:val="99"/>
    <w:qFormat/>
    <w:rPr>
      <w:rFonts w:ascii="Calibri" w:hAnsi="Calibri" w:eastAsia="Times New Roman" w:cs="Times New Roman"/>
    </w:rPr>
  </w:style>
  <w:style w:type="character" w:styleId="834" w:customStyle="1">
    <w:name w:val="Интернет-ссылка"/>
    <w:rPr>
      <w:color w:val="000080"/>
      <w:u w:val="single"/>
    </w:rPr>
  </w:style>
  <w:style w:type="paragraph" w:styleId="835">
    <w:name w:val="Title"/>
    <w:basedOn w:val="827"/>
    <w:next w:val="836"/>
    <w:link w:val="84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836">
    <w:name w:val="Body Text"/>
    <w:basedOn w:val="827"/>
    <w:pPr>
      <w:spacing w:after="140" w:line="288" w:lineRule="auto"/>
    </w:pPr>
  </w:style>
  <w:style w:type="paragraph" w:styleId="837">
    <w:name w:val="List"/>
    <w:basedOn w:val="836"/>
    <w:rPr>
      <w:rFonts w:cs="Mangal"/>
    </w:rPr>
  </w:style>
  <w:style w:type="paragraph" w:styleId="838">
    <w:name w:val="Caption"/>
    <w:basedOn w:val="827"/>
    <w:link w:val="683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39">
    <w:name w:val="index heading"/>
    <w:basedOn w:val="827"/>
    <w:qFormat/>
    <w:pPr>
      <w:suppressLineNumbers/>
    </w:pPr>
    <w:rPr>
      <w:rFonts w:cs="Mangal"/>
    </w:rPr>
  </w:style>
  <w:style w:type="paragraph" w:styleId="840">
    <w:name w:val="Header"/>
    <w:basedOn w:val="82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841">
    <w:name w:val="Footer"/>
    <w:basedOn w:val="82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842" w:customStyle="1">
    <w:name w:val="Содержимое таблицы"/>
    <w:basedOn w:val="827"/>
    <w:qFormat/>
    <w:pPr>
      <w:suppressLineNumbers/>
    </w:pPr>
  </w:style>
  <w:style w:type="paragraph" w:styleId="843" w:customStyle="1">
    <w:name w:val="Знак Знак Знак Знак Знак Знак Знак Знак"/>
    <w:basedOn w:val="827"/>
    <w:next w:val="835"/>
    <w:qFormat/>
    <w:pPr>
      <w:ind w:firstLine="426"/>
      <w:jc w:val="center"/>
    </w:pPr>
    <w:rPr>
      <w:rFonts w:ascii="Arial" w:hAnsi="Arial" w:eastAsia="Calibri"/>
      <w:b/>
      <w:color w:val="auto"/>
      <w:szCs w:val="20"/>
    </w:rPr>
  </w:style>
  <w:style w:type="paragraph" w:styleId="844" w:customStyle="1">
    <w:name w:val="Без интервала1"/>
    <w:qFormat/>
    <w:rPr>
      <w:rFonts w:ascii="Calibri" w:hAnsi="Calibri" w:eastAsia="Calibri" w:cs="Calibri"/>
      <w:sz w:val="22"/>
    </w:rPr>
  </w:style>
  <w:style w:type="paragraph" w:styleId="845" w:customStyle="1">
    <w:name w:val="Основной текст 21"/>
    <w:basedOn w:val="827"/>
    <w:qFormat/>
    <w:pPr>
      <w:jc w:val="both"/>
      <w:spacing w:after="0" w:line="240" w:lineRule="auto"/>
      <w:widowControl w:val="off"/>
    </w:pPr>
    <w:rPr>
      <w:rFonts w:ascii="Times New Roman" w:hAnsi="Times New Roman" w:cs="Arial"/>
      <w:color w:val="auto"/>
      <w:sz w:val="24"/>
      <w:szCs w:val="18"/>
      <w:lang w:eastAsia="zh-CN"/>
    </w:rPr>
  </w:style>
  <w:style w:type="paragraph" w:styleId="846">
    <w:name w:val="No Spacing"/>
    <w:uiPriority w:val="1"/>
    <w:qFormat/>
    <w:rPr>
      <w:rFonts w:eastAsia="Times New Roman" w:cs="Times New Roman"/>
      <w:color w:val="00000a"/>
      <w:sz w:val="22"/>
    </w:rPr>
  </w:style>
  <w:style w:type="character" w:styleId="847" w:customStyle="1">
    <w:name w:val="Название Знак2"/>
    <w:link w:val="835"/>
    <w:rPr>
      <w:rFonts w:ascii="Liberation Sans" w:hAnsi="Liberation Sans" w:eastAsia="Microsoft YaHei" w:cs="Mangal"/>
      <w:color w:val="00000a"/>
      <w:sz w:val="28"/>
      <w:szCs w:val="28"/>
    </w:rPr>
  </w:style>
  <w:style w:type="character" w:styleId="848" w:customStyle="1">
    <w:name w:val="Заголовок 1 Знак"/>
    <w:basedOn w:val="829"/>
    <w:link w:val="828"/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849">
    <w:name w:val="List Paragraph"/>
    <w:basedOn w:val="827"/>
    <w:uiPriority w:val="34"/>
    <w:qFormat/>
    <w:pPr>
      <w:contextualSpacing/>
      <w:ind w:left="720"/>
    </w:pPr>
  </w:style>
  <w:style w:type="character" w:styleId="850" w:customStyle="1">
    <w:name w:val="Основной шрифт абзаца9"/>
  </w:style>
  <w:style w:type="paragraph" w:styleId="851" w:customStyle="1">
    <w:name w:val="Основной текст 22"/>
    <w:basedOn w:val="827"/>
    <w:pPr>
      <w:ind w:left="567"/>
      <w:jc w:val="both"/>
      <w:spacing w:after="0" w:line="240" w:lineRule="auto"/>
      <w:widowControl w:val="off"/>
    </w:pPr>
    <w:rPr>
      <w:rFonts w:ascii="Arial" w:hAnsi="Arial" w:eastAsia="SimSun" w:cs="Mangal"/>
      <w:color w:val="auto"/>
      <w:sz w:val="28"/>
      <w:szCs w:val="20"/>
      <w:lang w:eastAsia="zh-CN" w:bidi="hi-IN"/>
    </w:rPr>
  </w:style>
  <w:style w:type="table" w:styleId="852">
    <w:name w:val="Table Grid"/>
    <w:basedOn w:val="830"/>
    <w:uiPriority w:val="3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53" w:customStyle="1">
    <w:name w:val="headertext"/>
    <w:basedOn w:val="827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854" w:customStyle="1">
    <w:name w:val="ConsPlusNormal"/>
    <w:qFormat/>
    <w:pPr>
      <w:ind w:firstLine="720"/>
      <w:widowControl w:val="off"/>
    </w:pPr>
    <w:rPr>
      <w:rFonts w:ascii="Arial" w:hAnsi="Arial" w:eastAsia="Arial" w:cs="Arial"/>
      <w:szCs w:val="20"/>
      <w:lang w:eastAsia="zh-CN"/>
    </w:rPr>
  </w:style>
  <w:style w:type="paragraph" w:styleId="855">
    <w:name w:val="Balloon Text"/>
    <w:basedOn w:val="827"/>
    <w:link w:val="85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6" w:customStyle="1">
    <w:name w:val="Текст выноски Знак"/>
    <w:basedOn w:val="829"/>
    <w:link w:val="855"/>
    <w:uiPriority w:val="99"/>
    <w:semiHidden/>
    <w:rPr>
      <w:rFonts w:ascii="Tahoma" w:hAnsi="Tahoma" w:eastAsia="Times New Roman" w:cs="Tahoma"/>
      <w:color w:val="00000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consultant.ru/document/cons_doc_LAW_388926/3cd4512b8c634f543d68d0da993c1bcb17a24bb8/" TargetMode="External"/><Relationship Id="rId11" Type="http://schemas.openxmlformats.org/officeDocument/2006/relationships/hyperlink" Target="http://www.consultant.ru/document/cons_doc_LAW_388926/f0d585697b9aa54ef56a166f7c33e3f0e609889e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EDB8C9-A29D-4EC2-9596-3E13415E4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Степанец Юлия Ивановна</dc:creator>
  <dc:language>ru-RU</dc:language>
  <cp:lastModifiedBy>m.sitnova</cp:lastModifiedBy>
  <cp:revision>36</cp:revision>
  <dcterms:created xsi:type="dcterms:W3CDTF">2023-08-22T11:39:00Z</dcterms:created>
  <dcterms:modified xsi:type="dcterms:W3CDTF">2026-03-16T11:49:08Z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