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88"/>
        <w:jc w:val="both"/>
        <w:rPr>
          <w:b/>
        </w:rPr>
      </w:pPr>
      <w:r>
        <w:rPr>
          <w:b/>
        </w:rPr>
        <w:t xml:space="preserve">        </w:t>
      </w:r>
      <w:r>
        <w:rPr>
          <w:b/>
        </w:rPr>
        <w:t xml:space="preserve">На электронную площадку Росэлторг, адрес</w:t>
      </w:r>
      <w:r>
        <w:rPr>
          <w:b/>
        </w:rPr>
        <w:t xml:space="preserve"> </w:t>
      </w:r>
      <w:r>
        <w:rPr>
          <w:b/>
          <w:lang w:val="en-US"/>
        </w:rPr>
      </w:r>
      <w:hyperlink r:id="rId9" w:tooltip="https://gos.roseltorg.ru/" w:history="1">
        <w:r>
          <w:rPr>
            <w:rStyle w:val="912"/>
            <w:b/>
            <w:lang w:val="en-US"/>
          </w:rPr>
          <w:t xml:space="preserve">https://gos.roseltorg.ru/</w:t>
        </w:r>
      </w:hyperlink>
      <w:r>
        <w:rPr>
          <w:b/>
          <w:lang w:val="en-US"/>
        </w:rPr>
        <w:t xml:space="preserve"> </w:t>
      </w:r>
      <w:r>
        <w:rPr>
          <w:b/>
          <w:lang w:val="en-US"/>
        </w:rPr>
        <w:t xml:space="preserve">26.03.2026 в 15:48</w:t>
      </w:r>
      <w:r>
        <w:rPr>
          <w:b/>
          <w:lang w:val="en-US"/>
        </w:rPr>
      </w:r>
      <w:r>
        <w:rPr>
          <w:b/>
        </w:rPr>
        <w:t xml:space="preserve"> поступил запрос №</w:t>
      </w:r>
      <w:r>
        <w:rPr>
          <w:b/>
        </w:rPr>
        <w:t xml:space="preserve"> </w:t>
      </w:r>
      <w:r>
        <w:rPr>
          <w:b/>
        </w:rPr>
      </w:r>
      <w:r>
        <w:rPr>
          <w:b/>
        </w:rPr>
        <w:t xml:space="preserve">164289</w:t>
      </w:r>
      <w:r>
        <w:rPr>
          <w:b/>
        </w:rPr>
      </w:r>
      <w:r>
        <w:rPr>
          <w:b/>
        </w:rPr>
        <w:t xml:space="preserve"> </w:t>
      </w:r>
      <w:r>
        <w:rPr>
          <w:b/>
        </w:rPr>
        <w:t xml:space="preserve">о разъяснени</w:t>
      </w:r>
      <w:r>
        <w:rPr>
          <w:b/>
        </w:rPr>
        <w:t xml:space="preserve">и</w:t>
      </w:r>
      <w:r>
        <w:rPr>
          <w:b/>
        </w:rPr>
        <w:t xml:space="preserve"> положений извещения </w:t>
      </w:r>
      <w:r>
        <w:rPr>
          <w:b/>
        </w:rPr>
        <w:t xml:space="preserve">об </w:t>
      </w:r>
      <w:r>
        <w:rPr>
          <w:b/>
        </w:rPr>
        <w:t xml:space="preserve">электронном аукционе </w:t>
      </w:r>
      <w:r>
        <w:rPr>
          <w:b/>
        </w:rPr>
        <w:t xml:space="preserve">по определению попдрядчика на выполнение</w:t>
      </w:r>
      <w:r>
        <w:rPr>
          <w:b/>
        </w:rPr>
        <w:t xml:space="preserve"> </w:t>
      </w:r>
      <w:r>
        <w:rPr>
          <w:b/>
        </w:rPr>
        <w:t xml:space="preserve">работ по комплексному благоустройству общественной территории: «Парк им. 777-летия города Нижнего Новгорода» в Автозаводском районе города Нижнего Новгорода (2-я очередь). Создание системы видеонаблюдения </w:t>
      </w:r>
      <w:r>
        <w:rPr>
          <w:b/>
        </w:rPr>
        <w:t xml:space="preserve">(реестровый номер закупки</w:t>
      </w:r>
      <w:r>
        <w:rPr>
          <w:b/>
        </w:rPr>
        <w:t xml:space="preserve"> </w:t>
      </w:r>
      <w:r>
        <w:rPr>
          <w:b/>
        </w:rPr>
      </w:r>
      <w:r>
        <w:rPr>
          <w:b/>
        </w:rPr>
        <w:t xml:space="preserve">0132600032726000157</w:t>
      </w:r>
      <w:r>
        <w:rPr>
          <w:b/>
        </w:rPr>
      </w:r>
      <w:r>
        <w:rPr>
          <w:b/>
        </w:rPr>
        <w:t xml:space="preserve">) следующего содержания:</w:t>
      </w:r>
      <w:r>
        <w:rPr>
          <w:b/>
        </w:rPr>
      </w:r>
      <w:r>
        <w:rPr>
          <w:b/>
        </w:rPr>
      </w:r>
    </w:p>
    <w:p>
      <w:pPr>
        <w:pStyle w:val="880"/>
        <w:jc w:val="both"/>
        <w:widowControl w:val="off"/>
        <w:tabs>
          <w:tab w:val="left" w:pos="0" w:leader="none"/>
        </w:tabs>
        <w:rPr>
          <w:b/>
        </w:rPr>
      </w:pPr>
      <w:r>
        <w:rPr>
          <w:b/>
        </w:rPr>
        <w:t xml:space="preserve">        </w:t>
      </w:r>
      <w:r>
        <w:rPr>
          <w:b/>
        </w:rPr>
        <w:t xml:space="preserve">Текст запроса</w:t>
      </w:r>
      <w:r>
        <w:rPr>
          <w:b/>
        </w:rPr>
        <w:t xml:space="preserve">:</w:t>
      </w:r>
      <w:r>
        <w:rPr>
          <w:b/>
        </w:rPr>
      </w:r>
      <w:r>
        <w:rPr>
          <w:b/>
        </w:rPr>
      </w:r>
    </w:p>
    <w:p>
      <w:pPr>
        <w:jc w:val="both"/>
        <w:widowControl w:val="off"/>
        <w:tabs>
          <w:tab w:val="left" w:pos="0" w:leader="none"/>
        </w:tabs>
        <w:rPr>
          <w:b w:val="0"/>
          <w:bCs w:val="0"/>
        </w:rPr>
      </w:pPr>
      <w:r>
        <w:rPr>
          <w:b w:val="0"/>
          <w:bCs w:val="0"/>
          <w:highlight w:val="none"/>
        </w:rPr>
      </w:r>
      <w:r>
        <w:rPr>
          <w:b w:val="0"/>
          <w:bCs w:val="0"/>
        </w:rPr>
      </w:r>
      <w:r>
        <w:rPr>
          <w:b w:val="0"/>
          <w:bCs w:val="0"/>
        </w:rPr>
      </w:r>
    </w:p>
    <w:p>
      <w:pPr>
        <w:jc w:val="both"/>
        <w:rPr>
          <w:rFonts w:ascii="Times New Roman" w:hAnsi="Times New Roman" w:cs="Times New Roman"/>
          <w:color w:val="0f1115"/>
          <w:sz w:val="24"/>
          <w:szCs w:val="24"/>
        </w:rPr>
      </w:pPr>
      <w:r>
        <w:rPr>
          <w:rFonts w:ascii="Times New Roman" w:hAnsi="Times New Roman" w:eastAsia="Times New Roman" w:cs="Times New Roman"/>
          <w:b w:val="0"/>
          <w:bCs w:val="0"/>
        </w:rPr>
        <w:tab/>
        <w:t xml:space="preserve">«</w:t>
      </w:r>
      <w:r>
        <w:rPr>
          <w:rFonts w:ascii="Times New Roman" w:hAnsi="Times New Roman" w:eastAsia="Times New Roman" w:cs="Times New Roman"/>
          <w:color w:val="0f1115"/>
          <w:sz w:val="24"/>
          <w:szCs w:val="24"/>
          <w:lang w:eastAsia="ru-RU"/>
        </w:rPr>
        <w:t xml:space="preserve">В извещении о про</w:t>
      </w:r>
      <w:r>
        <w:rPr>
          <w:rFonts w:ascii="Times New Roman" w:hAnsi="Times New Roman" w:eastAsia="Times New Roman" w:cs="Times New Roman"/>
          <w:color w:val="0f1115"/>
          <w:sz w:val="24"/>
          <w:szCs w:val="24"/>
          <w:lang w:eastAsia="ru-RU"/>
        </w:rPr>
        <w:t xml:space="preserve">ведении закупки Заказчиком установлены дополнительные требования к участникам закупки в соответствии с п. 8 Приложения № 2 к Постановлению Правительства РФ № 2571, а именно — наличие опыта выполнения работ по строительству, реконструкции линейного объекта.</w:t>
      </w: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p>
    <w:p>
      <w:pPr>
        <w:jc w:val="both"/>
        <w:rPr>
          <w:rFonts w:ascii="Times New Roman" w:hAnsi="Times New Roman" w:cs="Times New Roman"/>
          <w:color w:val="0f1115"/>
          <w:sz w:val="24"/>
          <w:szCs w:val="24"/>
        </w:rPr>
      </w:pP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p>
    <w:p>
      <w:pPr>
        <w:jc w:val="both"/>
        <w:rPr>
          <w:rFonts w:ascii="Times New Roman" w:hAnsi="Times New Roman" w:cs="Times New Roman"/>
          <w:color w:val="0f1115"/>
          <w:sz w:val="24"/>
          <w:szCs w:val="24"/>
        </w:rPr>
      </w:pPr>
      <w:r>
        <w:rPr>
          <w:rFonts w:ascii="Times New Roman" w:hAnsi="Times New Roman" w:eastAsia="Times New Roman" w:cs="Times New Roman"/>
          <w:color w:val="0f1115"/>
          <w:sz w:val="24"/>
          <w:szCs w:val="24"/>
          <w:lang w:eastAsia="ru-RU"/>
        </w:rPr>
        <w:t xml:space="preserve">Вместе с тем, анализ</w:t>
      </w:r>
      <w:r>
        <w:rPr>
          <w:rFonts w:ascii="Times New Roman" w:hAnsi="Times New Roman" w:eastAsia="Times New Roman" w:cs="Times New Roman"/>
          <w:color w:val="0f1115"/>
          <w:sz w:val="24"/>
          <w:szCs w:val="24"/>
          <w:lang w:eastAsia="ru-RU"/>
        </w:rPr>
        <w:t xml:space="preserve"> документации о закупке (в том числе ведомости объемов работ и локального сметного расчета) показывает, что предметом закупки является выполнение работ по благоустройству общественной территории с созданием системы видеонаблюдения, включающих, в частности:</w:t>
      </w: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p>
    <w:p>
      <w:pPr>
        <w:jc w:val="both"/>
        <w:rPr>
          <w:rFonts w:ascii="Times New Roman" w:hAnsi="Times New Roman" w:cs="Times New Roman"/>
          <w:color w:val="0f1115"/>
          <w:sz w:val="24"/>
          <w:szCs w:val="24"/>
        </w:rPr>
      </w:pP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p>
    <w:p>
      <w:pPr>
        <w:jc w:val="both"/>
        <w:rPr>
          <w:rFonts w:ascii="Times New Roman" w:hAnsi="Times New Roman" w:cs="Times New Roman"/>
          <w:color w:val="0f1115"/>
          <w:sz w:val="24"/>
          <w:szCs w:val="24"/>
        </w:rPr>
      </w:pPr>
      <w:r>
        <w:rPr>
          <w:rFonts w:ascii="Times New Roman" w:hAnsi="Times New Roman" w:eastAsia="Times New Roman" w:cs="Times New Roman"/>
          <w:color w:val="0f1115"/>
          <w:sz w:val="24"/>
          <w:szCs w:val="24"/>
          <w:lang w:eastAsia="ru-RU"/>
        </w:rPr>
        <w:t xml:space="preserve">прокладку кабельных линий связи (ВОЛС);</w:t>
      </w: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p>
    <w:p>
      <w:pPr>
        <w:jc w:val="both"/>
        <w:rPr>
          <w:rFonts w:ascii="Times New Roman" w:hAnsi="Times New Roman" w:cs="Times New Roman"/>
          <w:color w:val="0f1115"/>
          <w:sz w:val="24"/>
          <w:szCs w:val="24"/>
        </w:rPr>
      </w:pPr>
      <w:r>
        <w:rPr>
          <w:rFonts w:ascii="Times New Roman" w:hAnsi="Times New Roman" w:eastAsia="Times New Roman" w:cs="Times New Roman"/>
          <w:color w:val="0f1115"/>
          <w:sz w:val="24"/>
          <w:szCs w:val="24"/>
          <w:lang w:eastAsia="ru-RU"/>
        </w:rPr>
        <w:t xml:space="preserve">устройство труб и кабельной канализации;</w:t>
      </w: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p>
    <w:p>
      <w:pPr>
        <w:jc w:val="both"/>
        <w:rPr>
          <w:rFonts w:ascii="Times New Roman" w:hAnsi="Times New Roman" w:cs="Times New Roman"/>
          <w:color w:val="0f1115"/>
          <w:sz w:val="24"/>
          <w:szCs w:val="24"/>
        </w:rPr>
      </w:pPr>
      <w:r>
        <w:rPr>
          <w:rFonts w:ascii="Times New Roman" w:hAnsi="Times New Roman" w:eastAsia="Times New Roman" w:cs="Times New Roman"/>
          <w:color w:val="0f1115"/>
          <w:sz w:val="24"/>
          <w:szCs w:val="24"/>
          <w:lang w:eastAsia="ru-RU"/>
        </w:rPr>
        <w:t xml:space="preserve">монтаж оборудования системы видеонаблюдения;</w:t>
      </w: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p>
    <w:p>
      <w:pPr>
        <w:jc w:val="both"/>
        <w:rPr>
          <w:rFonts w:ascii="Times New Roman" w:hAnsi="Times New Roman" w:cs="Times New Roman"/>
          <w:color w:val="0f1115"/>
          <w:sz w:val="24"/>
          <w:szCs w:val="24"/>
        </w:rPr>
      </w:pPr>
      <w:r>
        <w:rPr>
          <w:rFonts w:ascii="Times New Roman" w:hAnsi="Times New Roman" w:eastAsia="Times New Roman" w:cs="Times New Roman"/>
          <w:color w:val="0f1115"/>
          <w:sz w:val="24"/>
          <w:szCs w:val="24"/>
          <w:lang w:eastAsia="ru-RU"/>
        </w:rPr>
        <w:t xml:space="preserve">восстановительные работы (асфальт, газон и пр.).</w:t>
      </w: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p>
    <w:p>
      <w:pPr>
        <w:jc w:val="both"/>
        <w:rPr>
          <w:rFonts w:ascii="Times New Roman" w:hAnsi="Times New Roman" w:cs="Times New Roman"/>
          <w:color w:val="0f1115"/>
          <w:sz w:val="24"/>
          <w:szCs w:val="24"/>
        </w:rPr>
      </w:pP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p>
    <w:p>
      <w:pPr>
        <w:jc w:val="both"/>
        <w:rPr>
          <w:rFonts w:ascii="Times New Roman" w:hAnsi="Times New Roman" w:cs="Times New Roman"/>
          <w:color w:val="0f1115"/>
          <w:sz w:val="24"/>
          <w:szCs w:val="24"/>
        </w:rPr>
      </w:pPr>
      <w:r>
        <w:rPr>
          <w:rFonts w:ascii="Times New Roman" w:hAnsi="Times New Roman" w:eastAsia="Times New Roman" w:cs="Times New Roman"/>
          <w:color w:val="0f1115"/>
          <w:sz w:val="24"/>
          <w:szCs w:val="24"/>
          <w:lang w:eastAsia="ru-RU"/>
        </w:rPr>
        <w:t xml:space="preserve">Указанные работы по своей правовой и фактической природе не относятся к строительству или реконструкции объекта капитального строительства, в том числе линейного объекта, поскольку:</w:t>
      </w: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p>
    <w:p>
      <w:pPr>
        <w:jc w:val="both"/>
        <w:rPr>
          <w:rFonts w:ascii="Times New Roman" w:hAnsi="Times New Roman" w:cs="Times New Roman"/>
          <w:color w:val="0f1115"/>
          <w:sz w:val="24"/>
          <w:szCs w:val="24"/>
        </w:rPr>
      </w:pP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p>
    <w:p>
      <w:pPr>
        <w:jc w:val="both"/>
        <w:rPr>
          <w:rFonts w:ascii="Times New Roman" w:hAnsi="Times New Roman" w:cs="Times New Roman"/>
          <w:color w:val="0f1115"/>
          <w:sz w:val="24"/>
          <w:szCs w:val="24"/>
        </w:rPr>
      </w:pPr>
      <w:r>
        <w:rPr>
          <w:rFonts w:ascii="Times New Roman" w:hAnsi="Times New Roman" w:eastAsia="Times New Roman" w:cs="Times New Roman"/>
          <w:color w:val="0f1115"/>
          <w:sz w:val="24"/>
          <w:szCs w:val="24"/>
          <w:lang w:eastAsia="ru-RU"/>
        </w:rPr>
        <w:t xml:space="preserve">не предусматривают создание объекта капитального строительства в понимании Градостроительного кодекса РФ;</w:t>
      </w: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p>
    <w:p>
      <w:pPr>
        <w:jc w:val="both"/>
        <w:rPr>
          <w:rFonts w:ascii="Times New Roman" w:hAnsi="Times New Roman" w:cs="Times New Roman"/>
          <w:color w:val="0f1115"/>
          <w:sz w:val="24"/>
          <w:szCs w:val="24"/>
        </w:rPr>
      </w:pPr>
      <w:r>
        <w:rPr>
          <w:rFonts w:ascii="Times New Roman" w:hAnsi="Times New Roman" w:eastAsia="Times New Roman" w:cs="Times New Roman"/>
          <w:color w:val="0f1115"/>
          <w:sz w:val="24"/>
          <w:szCs w:val="24"/>
          <w:lang w:eastAsia="ru-RU"/>
        </w:rPr>
        <w:t xml:space="preserve">не требуют получения разрешения на строительство;</w:t>
      </w: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p>
    <w:p>
      <w:pPr>
        <w:jc w:val="both"/>
        <w:rPr>
          <w:rFonts w:ascii="Times New Roman" w:hAnsi="Times New Roman" w:cs="Times New Roman"/>
          <w:color w:val="0f1115"/>
          <w:sz w:val="24"/>
          <w:szCs w:val="24"/>
        </w:rPr>
      </w:pPr>
      <w:r>
        <w:rPr>
          <w:rFonts w:ascii="Times New Roman" w:hAnsi="Times New Roman" w:eastAsia="Times New Roman" w:cs="Times New Roman"/>
          <w:color w:val="0f1115"/>
          <w:sz w:val="24"/>
          <w:szCs w:val="24"/>
          <w:lang w:eastAsia="ru-RU"/>
        </w:rPr>
        <w:t xml:space="preserve">не предполагают ввод объекта в эксплуатацию;</w:t>
      </w: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p>
    <w:p>
      <w:pPr>
        <w:jc w:val="both"/>
        <w:rPr>
          <w:rFonts w:ascii="Times New Roman" w:hAnsi="Times New Roman" w:cs="Times New Roman"/>
          <w:color w:val="0f1115"/>
          <w:sz w:val="24"/>
          <w:szCs w:val="24"/>
        </w:rPr>
      </w:pPr>
      <w:r>
        <w:rPr>
          <w:rFonts w:ascii="Times New Roman" w:hAnsi="Times New Roman" w:eastAsia="Times New Roman" w:cs="Times New Roman"/>
          <w:color w:val="0f1115"/>
          <w:sz w:val="24"/>
          <w:szCs w:val="24"/>
          <w:lang w:eastAsia="ru-RU"/>
        </w:rPr>
        <w:t xml:space="preserve">носят характер выполнения работ по благоустройству территории и монтажу инженерных систем.</w:t>
      </w: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p>
    <w:p>
      <w:pPr>
        <w:jc w:val="both"/>
        <w:rPr>
          <w:rFonts w:ascii="Times New Roman" w:hAnsi="Times New Roman" w:cs="Times New Roman"/>
          <w:color w:val="0f1115"/>
          <w:sz w:val="24"/>
          <w:szCs w:val="24"/>
        </w:rPr>
      </w:pP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p>
    <w:p>
      <w:pPr>
        <w:jc w:val="both"/>
        <w:rPr>
          <w:rFonts w:ascii="Times New Roman" w:hAnsi="Times New Roman" w:cs="Times New Roman"/>
          <w:color w:val="0f1115"/>
          <w:sz w:val="24"/>
          <w:szCs w:val="24"/>
        </w:rPr>
      </w:pPr>
      <w:r>
        <w:rPr>
          <w:rFonts w:ascii="Times New Roman" w:hAnsi="Times New Roman" w:eastAsia="Times New Roman" w:cs="Times New Roman"/>
          <w:color w:val="0f1115"/>
          <w:sz w:val="24"/>
          <w:szCs w:val="24"/>
          <w:lang w:eastAsia="ru-RU"/>
        </w:rPr>
        <w:t xml:space="preserve">Таким образом, установленное Заказчиком требование о наличии опыта вы</w:t>
      </w:r>
      <w:r>
        <w:rPr>
          <w:rFonts w:ascii="Times New Roman" w:hAnsi="Times New Roman" w:eastAsia="Times New Roman" w:cs="Times New Roman"/>
          <w:color w:val="0f1115"/>
          <w:sz w:val="24"/>
          <w:szCs w:val="24"/>
          <w:lang w:eastAsia="ru-RU"/>
        </w:rPr>
        <w:t xml:space="preserve">полнения работ по строительству, реконструкции линейного объекта не соответствует предмету закупки и приводит к необоснованному ограничению конкуренции, что противоречит положениям ст. 31 Федерального закона № 44-ФЗ и Постановления Правительства РФ № 2571.</w:t>
      </w: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p>
    <w:p>
      <w:pPr>
        <w:jc w:val="both"/>
        <w:rPr>
          <w:rFonts w:ascii="Times New Roman" w:hAnsi="Times New Roman" w:cs="Times New Roman"/>
          <w:color w:val="0f1115"/>
          <w:sz w:val="24"/>
          <w:szCs w:val="24"/>
        </w:rPr>
      </w:pP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p>
    <w:p>
      <w:pPr>
        <w:jc w:val="both"/>
        <w:rPr>
          <w:rFonts w:ascii="Times New Roman" w:hAnsi="Times New Roman" w:cs="Times New Roman"/>
          <w:color w:val="0f1115"/>
          <w:sz w:val="24"/>
          <w:szCs w:val="24"/>
        </w:rPr>
      </w:pPr>
      <w:r>
        <w:rPr>
          <w:rFonts w:ascii="Times New Roman" w:hAnsi="Times New Roman" w:eastAsia="Times New Roman" w:cs="Times New Roman"/>
          <w:color w:val="0f1115"/>
          <w:sz w:val="24"/>
          <w:szCs w:val="24"/>
          <w:lang w:eastAsia="ru-RU"/>
        </w:rPr>
        <w:t xml:space="preserve">На основании изложенного просим:</w:t>
      </w: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p>
    <w:p>
      <w:pPr>
        <w:jc w:val="both"/>
        <w:rPr>
          <w:rFonts w:ascii="Times New Roman" w:hAnsi="Times New Roman" w:cs="Times New Roman"/>
          <w:color w:val="0f1115"/>
          <w:sz w:val="24"/>
          <w:szCs w:val="24"/>
        </w:rPr>
      </w:pP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p>
    <w:p>
      <w:pPr>
        <w:jc w:val="both"/>
        <w:rPr>
          <w:rFonts w:ascii="Times New Roman" w:hAnsi="Times New Roman" w:cs="Times New Roman"/>
          <w:color w:val="0f1115"/>
          <w:sz w:val="24"/>
          <w:szCs w:val="24"/>
        </w:rPr>
      </w:pPr>
      <w:r>
        <w:rPr>
          <w:rFonts w:ascii="Times New Roman" w:hAnsi="Times New Roman" w:eastAsia="Times New Roman" w:cs="Times New Roman"/>
          <w:color w:val="0f1115"/>
          <w:sz w:val="24"/>
          <w:szCs w:val="24"/>
          <w:lang w:eastAsia="ru-RU"/>
        </w:rPr>
        <w:t xml:space="preserve">Обосновать правомерность применения п. 8 Приложения № 2 к Постановлению Правительства РФ № 2571 в рамках данной закупки.</w:t>
      </w: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p>
    <w:p>
      <w:pPr>
        <w:jc w:val="both"/>
        <w:rPr>
          <w:rFonts w:ascii="Times New Roman" w:hAnsi="Times New Roman" w:cs="Times New Roman"/>
          <w:color w:val="0f1115"/>
          <w:sz w:val="24"/>
          <w:szCs w:val="24"/>
        </w:rPr>
      </w:pPr>
      <w:r>
        <w:rPr>
          <w:rFonts w:ascii="Times New Roman" w:hAnsi="Times New Roman" w:eastAsia="Times New Roman" w:cs="Times New Roman"/>
          <w:color w:val="0f1115"/>
          <w:sz w:val="24"/>
          <w:szCs w:val="24"/>
          <w:lang w:eastAsia="ru-RU"/>
        </w:rPr>
        <w:t xml:space="preserve">Указать, какой именно объект капитального строительства (линейный объект) создается или реконструируется в рамках исполнения контракта.</w:t>
      </w: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p>
    <w:p>
      <w:pPr>
        <w:jc w:val="both"/>
        <w:rPr>
          <w:rFonts w:ascii="Times New Roman" w:hAnsi="Times New Roman" w:cs="Times New Roman"/>
          <w:color w:val="0f1115"/>
          <w:sz w:val="24"/>
          <w:szCs w:val="24"/>
        </w:rPr>
      </w:pPr>
      <w:r>
        <w:rPr>
          <w:rFonts w:ascii="Times New Roman" w:hAnsi="Times New Roman" w:eastAsia="Times New Roman" w:cs="Times New Roman"/>
          <w:color w:val="0f1115"/>
          <w:sz w:val="24"/>
          <w:szCs w:val="24"/>
          <w:lang w:eastAsia="ru-RU"/>
        </w:rPr>
        <w:t xml:space="preserve">Разъяснить, каким образом выполняемые работы соответствуют признакам строительства или реконструкции линейного объекта в смысле градостроительного законодательства.</w:t>
      </w: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p>
    <w:p>
      <w:pPr>
        <w:jc w:val="both"/>
        <w:rPr>
          <w:rFonts w:ascii="Times New Roman" w:hAnsi="Times New Roman" w:cs="Times New Roman"/>
          <w:color w:val="0f1115"/>
          <w:sz w:val="24"/>
          <w:szCs w:val="24"/>
        </w:rPr>
      </w:pPr>
      <w:r>
        <w:rPr>
          <w:rFonts w:ascii="Times New Roman" w:hAnsi="Times New Roman" w:eastAsia="Times New Roman" w:cs="Times New Roman"/>
          <w:color w:val="0f1115"/>
          <w:sz w:val="24"/>
          <w:szCs w:val="24"/>
          <w:lang w:eastAsia="ru-RU"/>
        </w:rPr>
        <w:t xml:space="preserve">Сообщить, предусмотрено ли в рамках исполнения контракта получение разрешения на строительство и ввод объекта в эксплуатацию.</w:t>
      </w: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p>
    <w:p>
      <w:pPr>
        <w:jc w:val="both"/>
        <w:rPr>
          <w:rFonts w:ascii="Times New Roman" w:hAnsi="Times New Roman" w:cs="Times New Roman"/>
          <w:color w:val="0f1115"/>
          <w:sz w:val="24"/>
          <w:szCs w:val="24"/>
        </w:rPr>
      </w:pP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p>
    <w:p>
      <w:pPr>
        <w:jc w:val="both"/>
        <w:rPr>
          <w:rFonts w:ascii="Times New Roman" w:hAnsi="Times New Roman" w:cs="Times New Roman"/>
          <w:color w:val="0f1115"/>
          <w:sz w:val="24"/>
          <w:szCs w:val="24"/>
        </w:rPr>
      </w:pPr>
      <w:r>
        <w:rPr>
          <w:rFonts w:ascii="Times New Roman" w:hAnsi="Times New Roman" w:eastAsia="Times New Roman" w:cs="Times New Roman"/>
          <w:color w:val="0f1115"/>
          <w:sz w:val="24"/>
          <w:szCs w:val="24"/>
          <w:lang w:eastAsia="ru-RU"/>
        </w:rPr>
        <w:t xml:space="preserve">Дополнительно сообщаем, что в случае отсутствия надлежащего правового обоснования установленных требований, участник закупки оставляет за собой право на обращение в антимонопольный орган с жалобой на действия Заказчика.</w:t>
      </w: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p>
    <w:p>
      <w:pPr>
        <w:jc w:val="both"/>
        <w:rPr>
          <w:rFonts w:ascii="Times New Roman" w:hAnsi="Times New Roman" w:cs="Times New Roman"/>
          <w:color w:val="0f1115"/>
          <w:sz w:val="24"/>
          <w:szCs w:val="24"/>
        </w:rPr>
      </w:pP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r>
        <w:rPr>
          <w:rFonts w:ascii="Times New Roman" w:hAnsi="Times New Roman" w:eastAsia="Times New Roman" w:cs="Times New Roman"/>
          <w:color w:val="0f1115"/>
          <w:sz w:val="24"/>
          <w:szCs w:val="24"/>
          <w:lang w:eastAsia="ru-RU"/>
        </w:rPr>
      </w:r>
    </w:p>
    <w:p>
      <w:pPr>
        <w:jc w:val="both"/>
        <w:widowControl w:val="off"/>
        <w:tabs>
          <w:tab w:val="left" w:pos="0" w:leader="none"/>
        </w:tabs>
        <w:rPr>
          <w:rFonts w:ascii="Times New Roman" w:hAnsi="Times New Roman" w:cs="Times New Roman"/>
          <w:b w:val="0"/>
          <w:bCs w:val="0"/>
        </w:rPr>
      </w:pPr>
      <w:r>
        <w:rPr>
          <w:rFonts w:ascii="Times New Roman" w:hAnsi="Times New Roman" w:eastAsia="Times New Roman" w:cs="Times New Roman"/>
          <w:color w:val="0f1115"/>
          <w:sz w:val="24"/>
          <w:szCs w:val="24"/>
          <w:lang w:eastAsia="ru-RU"/>
        </w:rPr>
        <w:t xml:space="preserve">Просим предоставить разъяснения в установленный законом срок.</w:t>
      </w:r>
      <w:r>
        <w:rPr>
          <w:rFonts w:ascii="Times New Roman" w:hAnsi="Times New Roman" w:eastAsia="Times New Roman" w:cs="Times New Roman"/>
          <w:b w:val="0"/>
          <w:bCs w:val="0"/>
        </w:rPr>
        <w:t xml:space="preserve">».</w:t>
      </w:r>
      <w:r>
        <w:rPr>
          <w:rFonts w:ascii="Times New Roman" w:hAnsi="Times New Roman" w:eastAsia="Times New Roman" w:cs="Times New Roman"/>
          <w:b w:val="0"/>
          <w:bCs w:val="0"/>
        </w:rPr>
      </w:r>
      <w:r>
        <w:rPr>
          <w:rFonts w:ascii="Times New Roman" w:hAnsi="Times New Roman" w:eastAsia="Times New Roman" w:cs="Times New Roman"/>
        </w:rPr>
      </w:r>
    </w:p>
    <w:p>
      <w:pPr>
        <w:pStyle w:val="880"/>
        <w:jc w:val="both"/>
        <w:widowControl w:val="off"/>
        <w:tabs>
          <w:tab w:val="left" w:pos="0" w:leader="none"/>
        </w:tabs>
        <w:rPr>
          <w:b/>
        </w:rPr>
      </w:pPr>
      <w:r>
        <w:rPr>
          <w:b/>
        </w:rPr>
      </w:r>
      <w:r>
        <w:rPr>
          <w:b/>
        </w:rPr>
      </w:r>
      <w:r>
        <w:rPr>
          <w:b/>
        </w:rPr>
      </w:r>
    </w:p>
    <w:p>
      <w:pPr>
        <w:pStyle w:val="894"/>
        <w:numPr>
          <w:ilvl w:val="0"/>
          <w:numId w:val="0"/>
        </w:numPr>
        <w:ind w:firstLine="540"/>
        <w:spacing w:after="0"/>
        <w:rPr>
          <w:b/>
          <w:bCs/>
          <w:highlight w:val="none"/>
        </w:rPr>
      </w:pPr>
      <w:r>
        <w:rPr>
          <w:b/>
        </w:rPr>
        <w:t xml:space="preserve">В отве</w:t>
      </w:r>
      <w:r>
        <w:rPr>
          <w:b/>
        </w:rPr>
        <w:t xml:space="preserve">т на данный запрос муниципальный заказчик в адрес департамента экономического развития и инвестиций администрации города Нижнего Новгорода направляет следующую информацию:</w:t>
      </w:r>
      <w:r>
        <w:rPr>
          <w:b/>
        </w:rPr>
      </w:r>
      <w:r>
        <w:rPr>
          <w:b/>
          <w:bCs/>
          <w:highlight w:val="none"/>
        </w:rPr>
      </w:r>
    </w:p>
    <w:p>
      <w:pPr>
        <w:pStyle w:val="894"/>
        <w:numPr>
          <w:ilvl w:val="0"/>
          <w:numId w:val="0"/>
        </w:numPr>
        <w:ind w:firstLine="540"/>
        <w:spacing w:after="0"/>
        <w:rPr>
          <w:b/>
          <w:bCs/>
        </w:rPr>
      </w:pPr>
      <w:r>
        <w:rPr>
          <w:b/>
          <w:highlight w:val="none"/>
        </w:rPr>
      </w:r>
      <w:r>
        <w:rPr>
          <w:b/>
          <w:highlight w:val="none"/>
        </w:rPr>
      </w:r>
    </w:p>
    <w:p>
      <w:pPr>
        <w:pStyle w:val="880"/>
        <w:ind w:firstLine="540"/>
        <w:jc w:val="both"/>
        <w:spacing w:line="288" w:lineRule="auto"/>
        <w:shd w:val="clear" w:color="auto" w:fill="ffffff"/>
        <w:tabs>
          <w:tab w:val="left" w:pos="1803" w:leader="none"/>
        </w:tabs>
        <w:rPr>
          <w:b/>
          <w:bCs/>
          <w:highlight w:val="none"/>
        </w:rPr>
      </w:pPr>
      <w:r>
        <w:rPr>
          <w:b/>
        </w:rPr>
        <w:t xml:space="preserve">Ответ на запрос</w:t>
      </w:r>
      <w:r>
        <w:rPr>
          <w:b/>
          <w:bCs/>
          <w:highlight w:val="none"/>
        </w:rPr>
      </w:r>
      <w:r>
        <w:rPr>
          <w:b/>
          <w:bCs/>
          <w:highlight w:val="none"/>
        </w:rPr>
      </w:r>
    </w:p>
    <w:p>
      <w:pPr>
        <w:ind w:firstLine="540"/>
        <w:jc w:val="both"/>
        <w:spacing w:line="288" w:lineRule="auto"/>
        <w:shd w:val="clear" w:color="auto" w:fill="ffffff"/>
        <w:tabs>
          <w:tab w:val="left" w:pos="1803" w:leader="none"/>
        </w:tabs>
        <w:rPr>
          <w:b w:val="0"/>
          <w:bCs w:val="0"/>
        </w:rPr>
      </w:pPr>
      <w:r>
        <w:rPr>
          <w:rFonts w:ascii="Times New Roman" w:hAnsi="Times New Roman" w:cs="Times New Roman"/>
          <w:b w:val="0"/>
          <w:bCs w:val="0"/>
        </w:rPr>
        <w:t xml:space="preserve">В соответствии с условиями, содержащимися в Извещении об </w:t>
      </w:r>
      <w:r>
        <w:rPr>
          <w:b w:val="0"/>
          <w:bCs w:val="0"/>
        </w:rPr>
      </w:r>
      <w:r>
        <w:rPr>
          <w:rFonts w:ascii="Times New Roman" w:hAnsi="Times New Roman" w:cs="Times New Roman"/>
          <w:b w:val="0"/>
          <w:bCs w:val="0"/>
        </w:rPr>
        <w:t xml:space="preserve">осуществлении закупки 0132600032726000157 Заказчиком планируется создание</w:t>
      </w:r>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t xml:space="preserve">системы видеонаблюдения на территории общего пользования как линии связи, с</w:t>
      </w:r>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t xml:space="preserve">целью использования ее для передачи данных с камер видеонаблюдения по</w:t>
      </w:r>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t xml:space="preserve">проводным каналам связи, для чего устраивается подземная система прокладки</w:t>
      </w:r>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t xml:space="preserve">волоконно-оптических линий связи.</w:t>
      </w:r>
      <w:r>
        <w:rPr>
          <w:b w:val="0"/>
          <w:bCs w:val="0"/>
        </w:rPr>
      </w:r>
      <w:r>
        <w:rPr>
          <w:rFonts w:ascii="Times New Roman" w:hAnsi="Times New Roman" w:cs="Times New Roman"/>
          <w:b w:val="0"/>
          <w:bCs w:val="0"/>
        </w:rPr>
      </w:r>
    </w:p>
    <w:p>
      <w:pPr>
        <w:ind w:firstLine="540"/>
        <w:jc w:val="both"/>
        <w:spacing w:line="288" w:lineRule="auto"/>
        <w:shd w:val="clear" w:color="auto" w:fill="ffffff"/>
        <w:tabs>
          <w:tab w:val="left" w:pos="1803" w:leader="none"/>
        </w:tabs>
        <w:rPr>
          <w:b w:val="0"/>
          <w:bCs w:val="0"/>
        </w:rPr>
      </w:pPr>
      <w:r>
        <w:rPr>
          <w:rFonts w:ascii="Times New Roman" w:hAnsi="Times New Roman" w:cs="Times New Roman"/>
          <w:b w:val="0"/>
          <w:bCs w:val="0"/>
        </w:rPr>
        <w:t xml:space="preserve">Согласно ст.10.1. Градостроительного кодекса Российской Федерации </w:t>
      </w:r>
      <w:r>
        <w:rPr>
          <w:b w:val="0"/>
          <w:bCs w:val="0"/>
        </w:rPr>
      </w:r>
      <w:r>
        <w:rPr>
          <w:rFonts w:ascii="Times New Roman" w:hAnsi="Times New Roman" w:cs="Times New Roman"/>
          <w:b w:val="0"/>
          <w:bCs w:val="0"/>
        </w:rPr>
        <w:t xml:space="preserve">линейные объекты это линии электропередачи, линии связи (в том числе линейно-</w:t>
      </w:r>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t xml:space="preserve">кабельные сооружения), трубопроводы, автомобильные дороги,</w:t>
      </w:r>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t xml:space="preserve">железнодорожные линии и другие подобные сооружения.</w:t>
      </w:r>
      <w:r>
        <w:rPr>
          <w:b w:val="0"/>
          <w:bCs w:val="0"/>
        </w:rPr>
      </w:r>
      <w:r>
        <w:rPr>
          <w:rFonts w:ascii="Times New Roman" w:hAnsi="Times New Roman" w:cs="Times New Roman"/>
          <w:b w:val="0"/>
          <w:bCs w:val="0"/>
        </w:rPr>
      </w:r>
    </w:p>
    <w:p>
      <w:pPr>
        <w:ind w:firstLine="540"/>
        <w:jc w:val="both"/>
        <w:spacing w:line="288" w:lineRule="auto"/>
        <w:shd w:val="clear" w:color="auto" w:fill="ffffff"/>
        <w:tabs>
          <w:tab w:val="left" w:pos="1803" w:leader="none"/>
        </w:tabs>
        <w:rPr>
          <w:b w:val="0"/>
          <w:bCs w:val="0"/>
        </w:rPr>
      </w:pPr>
      <w:r>
        <w:rPr>
          <w:rFonts w:ascii="Times New Roman" w:hAnsi="Times New Roman" w:cs="Times New Roman"/>
          <w:b w:val="0"/>
          <w:bCs w:val="0"/>
        </w:rPr>
        <w:t xml:space="preserve">В соответствии с Федеральным законом от 07.07.2003 №126-ФЗ «О связи» </w:t>
      </w:r>
      <w:r>
        <w:rPr>
          <w:b w:val="0"/>
          <w:bCs w:val="0"/>
        </w:rPr>
      </w:r>
      <w:r>
        <w:rPr>
          <w:rFonts w:ascii="Times New Roman" w:hAnsi="Times New Roman" w:cs="Times New Roman"/>
          <w:b w:val="0"/>
          <w:bCs w:val="0"/>
        </w:rPr>
        <w:t xml:space="preserve">линии связи - линии передачи, физические цепи и линейно-кабельные сооружения</w:t>
      </w:r>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t xml:space="preserve">связи.</w:t>
      </w:r>
      <w:r>
        <w:rPr>
          <w:b w:val="0"/>
          <w:bCs w:val="0"/>
        </w:rPr>
      </w:r>
      <w:r>
        <w:rPr>
          <w:rFonts w:ascii="Times New Roman" w:hAnsi="Times New Roman" w:cs="Times New Roman"/>
          <w:b w:val="0"/>
          <w:bCs w:val="0"/>
        </w:rPr>
      </w:r>
    </w:p>
    <w:p>
      <w:pPr>
        <w:ind w:firstLine="540"/>
        <w:jc w:val="both"/>
        <w:spacing w:line="288" w:lineRule="auto"/>
        <w:shd w:val="clear" w:color="auto" w:fill="ffffff"/>
        <w:tabs>
          <w:tab w:val="left" w:pos="1803" w:leader="none"/>
        </w:tabs>
        <w:rPr>
          <w:b w:val="0"/>
          <w:bCs w:val="0"/>
        </w:rPr>
      </w:pPr>
      <w:r>
        <w:rPr>
          <w:rFonts w:ascii="Times New Roman" w:hAnsi="Times New Roman" w:cs="Times New Roman"/>
          <w:b w:val="0"/>
          <w:bCs w:val="0"/>
        </w:rPr>
        <w:t xml:space="preserve">Как следует из письма Министерства связи и массовых коммуникаций </w:t>
      </w:r>
      <w:r>
        <w:rPr>
          <w:b w:val="0"/>
          <w:bCs w:val="0"/>
        </w:rPr>
      </w:r>
      <w:r>
        <w:rPr>
          <w:rFonts w:ascii="Times New Roman" w:hAnsi="Times New Roman" w:cs="Times New Roman"/>
          <w:b w:val="0"/>
          <w:bCs w:val="0"/>
        </w:rPr>
        <w:t xml:space="preserve">Российской федерации от 14.04.2015 №П12-7172-ОГ «О линиях связи» линии</w:t>
      </w:r>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t xml:space="preserve">связи могут быть как недвижимостью (линейно-кабельные сооружения), так и</w:t>
      </w:r>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t xml:space="preserve">движимым имуществом - линии передачи, физические цепи.</w:t>
      </w:r>
      <w:r>
        <w:rPr>
          <w:b w:val="0"/>
          <w:bCs w:val="0"/>
        </w:rPr>
      </w:r>
      <w:r>
        <w:rPr>
          <w:rFonts w:ascii="Times New Roman" w:hAnsi="Times New Roman" w:cs="Times New Roman"/>
          <w:b w:val="0"/>
          <w:bCs w:val="0"/>
        </w:rPr>
      </w:r>
    </w:p>
    <w:p>
      <w:pPr>
        <w:ind w:firstLine="540"/>
        <w:jc w:val="both"/>
        <w:spacing w:line="288" w:lineRule="auto"/>
        <w:shd w:val="clear" w:color="auto" w:fill="ffffff"/>
        <w:tabs>
          <w:tab w:val="left" w:pos="1803" w:leader="none"/>
        </w:tabs>
        <w:rPr>
          <w:b w:val="0"/>
          <w:bCs w:val="0"/>
        </w:rPr>
      </w:pPr>
      <w:r>
        <w:rPr>
          <w:rFonts w:ascii="Times New Roman" w:hAnsi="Times New Roman" w:cs="Times New Roman"/>
          <w:b w:val="0"/>
          <w:bCs w:val="0"/>
        </w:rPr>
        <w:t xml:space="preserve">Для объекта, создаваемого в рамках закупки 0132600032726000157, не </w:t>
      </w:r>
      <w:r>
        <w:rPr>
          <w:b w:val="0"/>
          <w:bCs w:val="0"/>
        </w:rPr>
      </w:r>
      <w:r>
        <w:rPr>
          <w:rFonts w:ascii="Times New Roman" w:hAnsi="Times New Roman" w:cs="Times New Roman"/>
          <w:b w:val="0"/>
          <w:bCs w:val="0"/>
        </w:rPr>
        <w:t xml:space="preserve">предусмотрено разрешение на строительство и ввод в эксплуатацию как этого</w:t>
      </w:r>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t xml:space="preserve">требует градостроительный кодекс Российской Федерации.</w:t>
      </w:r>
      <w:r>
        <w:rPr>
          <w:b w:val="0"/>
          <w:bCs w:val="0"/>
        </w:rPr>
      </w:r>
      <w:r>
        <w:rPr>
          <w:rFonts w:ascii="Times New Roman" w:hAnsi="Times New Roman" w:cs="Times New Roman"/>
          <w:b w:val="0"/>
          <w:bCs w:val="0"/>
        </w:rPr>
      </w:r>
    </w:p>
    <w:p>
      <w:pPr>
        <w:ind w:firstLine="540"/>
        <w:jc w:val="both"/>
        <w:spacing w:line="288" w:lineRule="auto"/>
        <w:shd w:val="clear" w:color="auto" w:fill="ffffff"/>
        <w:tabs>
          <w:tab w:val="left" w:pos="1803" w:leader="none"/>
        </w:tabs>
        <w:rPr>
          <w:b w:val="0"/>
          <w:bCs w:val="0"/>
        </w:rPr>
      </w:pPr>
      <w:r>
        <w:rPr>
          <w:rFonts w:ascii="Times New Roman" w:hAnsi="Times New Roman" w:cs="Times New Roman"/>
          <w:b w:val="0"/>
          <w:bCs w:val="0"/>
        </w:rPr>
        <w:t xml:space="preserve">Исходя из совокупности, предусмотренных Извещением об осуществлении </w:t>
      </w:r>
      <w:r>
        <w:rPr>
          <w:b w:val="0"/>
          <w:bCs w:val="0"/>
        </w:rPr>
      </w:r>
      <w:r>
        <w:rPr>
          <w:rFonts w:ascii="Times New Roman" w:hAnsi="Times New Roman" w:cs="Times New Roman"/>
          <w:b w:val="0"/>
          <w:bCs w:val="0"/>
        </w:rPr>
        <w:t xml:space="preserve">закупки, видов работ, назначения использования создаваемого объекта, а также в</w:t>
      </w:r>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t xml:space="preserve">связи с тем, что к линейным объектам относятся линии связи, заказчиком в</w:t>
      </w:r>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t xml:space="preserve">соответствии с ч.2 ст.31 Федерального закона от 05.04.2013 №44-ФЗ «О</w:t>
      </w:r>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t xml:space="preserve">контрактной системе в сфере закупок товаров, работ, услуг для обеспечения</w:t>
      </w:r>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t xml:space="preserve">государственных и муниципальных нужд» установлены дополнительные</w:t>
      </w:r>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t xml:space="preserve">требования к участникам закупки в соответствии с позицией 8 раздела II</w:t>
      </w:r>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t xml:space="preserve">Приложения к постановлению Правительства РФ от 29.12.2021 № 2571 "О</w:t>
      </w:r>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t xml:space="preserve">дополнительных требованиях к участникам закупки отдельных видов товаров,</w:t>
      </w:r>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t xml:space="preserve">работ, услуг для обеспечения государственных и муниципальных нужд, а также</w:t>
      </w:r>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t xml:space="preserve">об информации и документах, подтверждающих соответствие участников закупки</w:t>
      </w:r>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t xml:space="preserve">указанным дополнительным требованиям, и признании утратившими силу</w:t>
      </w:r>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t xml:space="preserve">некоторых актов и отдельных положений актов Правительства Российской</w:t>
      </w:r>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t xml:space="preserve">Федерации"</w:t>
      </w:r>
      <w:r>
        <w:rPr>
          <w:rFonts w:ascii="Times New Roman" w:hAnsi="Times New Roman" w:cs="Times New Roman"/>
          <w:b w:val="0"/>
          <w:bCs w:val="0"/>
        </w:rPr>
      </w:r>
      <w:r>
        <w:rPr>
          <w:rFonts w:ascii="Times New Roman" w:hAnsi="Times New Roman" w:cs="Times New Roman"/>
          <w:b w:val="0"/>
          <w:bCs w:val="0"/>
        </w:rPr>
      </w:r>
      <w:r>
        <w:rPr>
          <w:rFonts w:ascii="Times New Roman" w:hAnsi="Times New Roman" w:cs="Times New Roman"/>
          <w:b w:val="0"/>
          <w:bCs w:val="0"/>
        </w:rPr>
      </w:r>
    </w:p>
    <w:sectPr>
      <w:footnotePr/>
      <w:endnotePr/>
      <w:type w:val="nextPage"/>
      <w:pgSz w:w="11906" w:h="16838" w:orient="portrait"/>
      <w:pgMar w:top="709" w:right="849" w:bottom="794" w:left="1134"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Symbol">
    <w:panose1 w:val="05010000000000000000"/>
  </w:font>
  <w:font w:name="OpenSymbol">
    <w:panose1 w:val="05010000000000000000"/>
  </w:font>
  <w:font w:name="Courier New">
    <w:panose1 w:val="02070309020205020404"/>
  </w:font>
  <w:font w:name="Consolas">
    <w:panose1 w:val="020B0606020202030204"/>
  </w:font>
  <w:font w:name="Times New Roman">
    <w:panose1 w:val="02020603050405020304"/>
  </w:font>
  <w:font w:name="Calibri">
    <w:panose1 w:val="020F0502020204030204"/>
  </w:font>
  <w:font w:name="Tahoma">
    <w:panose1 w:val="020B06040305040402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080" w:hanging="360"/>
        <w:tabs>
          <w:tab w:val="num" w:pos="1080" w:leader="none"/>
        </w:tabs>
      </w:pPr>
    </w:lvl>
    <w:lvl w:ilvl="2">
      <w:start w:val="1"/>
      <w:numFmt w:val="decimal"/>
      <w:isLgl w:val="false"/>
      <w:suff w:val="tab"/>
      <w:lvlText w:val="%3."/>
      <w:lvlJc w:val="left"/>
      <w:pPr>
        <w:ind w:left="1440" w:hanging="360"/>
        <w:tabs>
          <w:tab w:val="num" w:pos="1440" w:leader="none"/>
        </w:tabs>
      </w:pPr>
    </w:lvl>
    <w:lvl w:ilvl="3">
      <w:start w:val="1"/>
      <w:numFmt w:val="decimal"/>
      <w:isLgl w:val="false"/>
      <w:suff w:val="tab"/>
      <w:lvlText w:val="%4."/>
      <w:lvlJc w:val="left"/>
      <w:pPr>
        <w:ind w:left="1800" w:hanging="360"/>
        <w:tabs>
          <w:tab w:val="num" w:pos="1800" w:leader="none"/>
        </w:tabs>
      </w:pPr>
    </w:lvl>
    <w:lvl w:ilvl="4">
      <w:start w:val="1"/>
      <w:numFmt w:val="decimal"/>
      <w:isLgl w:val="false"/>
      <w:suff w:val="tab"/>
      <w:lvlText w:val="%5."/>
      <w:lvlJc w:val="left"/>
      <w:pPr>
        <w:ind w:left="2160" w:hanging="360"/>
        <w:tabs>
          <w:tab w:val="num" w:pos="2160" w:leader="none"/>
        </w:tabs>
      </w:pPr>
    </w:lvl>
    <w:lvl w:ilvl="5">
      <w:start w:val="1"/>
      <w:numFmt w:val="decimal"/>
      <w:isLgl w:val="false"/>
      <w:suff w:val="tab"/>
      <w:lvlText w:val="%6."/>
      <w:lvlJc w:val="left"/>
      <w:pPr>
        <w:ind w:left="2520" w:hanging="360"/>
        <w:tabs>
          <w:tab w:val="num" w:pos="2520" w:leader="none"/>
        </w:tabs>
      </w:pPr>
    </w:lvl>
    <w:lvl w:ilvl="6">
      <w:start w:val="1"/>
      <w:numFmt w:val="decimal"/>
      <w:isLgl w:val="false"/>
      <w:suff w:val="tab"/>
      <w:lvlText w:val="%7."/>
      <w:lvlJc w:val="left"/>
      <w:pPr>
        <w:ind w:left="2880" w:hanging="360"/>
        <w:tabs>
          <w:tab w:val="num" w:pos="2880" w:leader="none"/>
        </w:tabs>
      </w:pPr>
    </w:lvl>
    <w:lvl w:ilvl="7">
      <w:start w:val="1"/>
      <w:numFmt w:val="decimal"/>
      <w:isLgl w:val="false"/>
      <w:suff w:val="tab"/>
      <w:lvlText w:val="%8."/>
      <w:lvlJc w:val="left"/>
      <w:pPr>
        <w:ind w:left="3240" w:hanging="360"/>
        <w:tabs>
          <w:tab w:val="num" w:pos="3240" w:leader="none"/>
        </w:tabs>
      </w:pPr>
    </w:lvl>
    <w:lvl w:ilvl="8">
      <w:start w:val="1"/>
      <w:numFmt w:val="decimal"/>
      <w:isLgl w:val="false"/>
      <w:suff w:val="tab"/>
      <w:lvlText w:val="%9."/>
      <w:lvlJc w:val="left"/>
      <w:pPr>
        <w:ind w:left="3600" w:hanging="360"/>
        <w:tabs>
          <w:tab w:val="num" w:pos="3600" w:leader="none"/>
        </w:tabs>
      </w:pPr>
    </w:lvl>
  </w:abstractNum>
  <w:abstractNum w:abstractNumId="1">
    <w:multiLevelType w:val="hybridMultilevel"/>
    <w:lvl w:ilvl="0">
      <w:start w:val="1"/>
      <w:numFmt w:val="bullet"/>
      <w:isLgl w:val="false"/>
      <w:suff w:val="tab"/>
      <w:lvlText w:val=""/>
      <w:lvlJc w:val="left"/>
      <w:pPr>
        <w:ind w:left="720" w:hanging="360"/>
        <w:tabs>
          <w:tab w:val="num" w:pos="720" w:leader="none"/>
        </w:tabs>
      </w:pPr>
      <w:rPr>
        <w:rFonts w:ascii="Symbol" w:hAnsi="Symbol" w:cs="OpenSymbol"/>
        <w:lang w:val="ru-RU"/>
      </w:rPr>
    </w:lvl>
    <w:lvl w:ilvl="1">
      <w:start w:val="1"/>
      <w:numFmt w:val="bullet"/>
      <w:isLgl w:val="false"/>
      <w:suff w:val="tab"/>
      <w:lvlText w:val="◦"/>
      <w:lvlJc w:val="left"/>
      <w:pPr>
        <w:ind w:left="1080" w:hanging="360"/>
        <w:tabs>
          <w:tab w:val="num" w:pos="1080" w:leader="none"/>
        </w:tabs>
      </w:pPr>
      <w:rPr>
        <w:rFonts w:ascii="OpenSymbol" w:hAnsi="OpenSymbol" w:cs="OpenSymbol"/>
      </w:rPr>
    </w:lvl>
    <w:lvl w:ilvl="2">
      <w:start w:val="1"/>
      <w:numFmt w:val="bullet"/>
      <w:isLgl w:val="false"/>
      <w:suff w:val="tab"/>
      <w:lvlText w:val="▪"/>
      <w:lvlJc w:val="left"/>
      <w:pPr>
        <w:ind w:left="1440" w:hanging="360"/>
        <w:tabs>
          <w:tab w:val="num" w:pos="1440" w:leader="none"/>
        </w:tabs>
      </w:pPr>
      <w:rPr>
        <w:rFonts w:ascii="OpenSymbol" w:hAnsi="OpenSymbol" w:cs="OpenSymbol"/>
      </w:rPr>
    </w:lvl>
    <w:lvl w:ilvl="3">
      <w:start w:val="1"/>
      <w:numFmt w:val="bullet"/>
      <w:isLgl w:val="false"/>
      <w:suff w:val="tab"/>
      <w:lvlText w:val=""/>
      <w:lvlJc w:val="left"/>
      <w:pPr>
        <w:ind w:left="1800" w:hanging="360"/>
        <w:tabs>
          <w:tab w:val="num" w:pos="1800" w:leader="none"/>
        </w:tabs>
      </w:pPr>
      <w:rPr>
        <w:rFonts w:ascii="Symbol" w:hAnsi="Symbol" w:cs="OpenSymbol"/>
        <w:lang w:val="ru-RU"/>
      </w:rPr>
    </w:lvl>
    <w:lvl w:ilvl="4">
      <w:start w:val="1"/>
      <w:numFmt w:val="bullet"/>
      <w:isLgl w:val="false"/>
      <w:suff w:val="tab"/>
      <w:lvlText w:val="◦"/>
      <w:lvlJc w:val="left"/>
      <w:pPr>
        <w:ind w:left="2160" w:hanging="360"/>
        <w:tabs>
          <w:tab w:val="num" w:pos="2160" w:leader="none"/>
        </w:tabs>
      </w:pPr>
      <w:rPr>
        <w:rFonts w:ascii="OpenSymbol" w:hAnsi="OpenSymbol" w:cs="OpenSymbol"/>
      </w:rPr>
    </w:lvl>
    <w:lvl w:ilvl="5">
      <w:start w:val="1"/>
      <w:numFmt w:val="bullet"/>
      <w:isLgl w:val="false"/>
      <w:suff w:val="tab"/>
      <w:lvlText w:val="▪"/>
      <w:lvlJc w:val="left"/>
      <w:pPr>
        <w:ind w:left="2520" w:hanging="360"/>
        <w:tabs>
          <w:tab w:val="num" w:pos="2520" w:leader="none"/>
        </w:tabs>
      </w:pPr>
      <w:rPr>
        <w:rFonts w:ascii="OpenSymbol" w:hAnsi="OpenSymbol" w:cs="OpenSymbol"/>
      </w:rPr>
    </w:lvl>
    <w:lvl w:ilvl="6">
      <w:start w:val="1"/>
      <w:numFmt w:val="bullet"/>
      <w:isLgl w:val="false"/>
      <w:suff w:val="tab"/>
      <w:lvlText w:val=""/>
      <w:lvlJc w:val="left"/>
      <w:pPr>
        <w:ind w:left="2880" w:hanging="360"/>
        <w:tabs>
          <w:tab w:val="num" w:pos="2880" w:leader="none"/>
        </w:tabs>
      </w:pPr>
      <w:rPr>
        <w:rFonts w:ascii="Symbol" w:hAnsi="Symbol" w:cs="OpenSymbol"/>
        <w:lang w:val="ru-RU"/>
      </w:rPr>
    </w:lvl>
    <w:lvl w:ilvl="7">
      <w:start w:val="1"/>
      <w:numFmt w:val="bullet"/>
      <w:isLgl w:val="false"/>
      <w:suff w:val="tab"/>
      <w:lvlText w:val="◦"/>
      <w:lvlJc w:val="left"/>
      <w:pPr>
        <w:ind w:left="3240" w:hanging="360"/>
        <w:tabs>
          <w:tab w:val="num" w:pos="3240" w:leader="none"/>
        </w:tabs>
      </w:pPr>
      <w:rPr>
        <w:rFonts w:ascii="OpenSymbol" w:hAnsi="OpenSymbol" w:cs="OpenSymbol"/>
      </w:rPr>
    </w:lvl>
    <w:lvl w:ilvl="8">
      <w:start w:val="1"/>
      <w:numFmt w:val="bullet"/>
      <w:isLgl w:val="false"/>
      <w:suff w:val="tab"/>
      <w:lvlText w:val="▪"/>
      <w:lvlJc w:val="left"/>
      <w:pPr>
        <w:ind w:left="3600" w:hanging="360"/>
        <w:tabs>
          <w:tab w:val="num" w:pos="3600" w:leader="none"/>
        </w:tabs>
      </w:pPr>
      <w:rPr>
        <w:rFonts w:ascii="OpenSymbol" w:hAnsi="OpenSymbol" w:cs="OpenSymbol"/>
      </w:rPr>
    </w:lvl>
  </w:abstractNum>
  <w:abstractNum w:abstractNumId="2">
    <w:multiLevelType w:val="hybridMultilevel"/>
    <w:lvl w:ilvl="0">
      <w:start w:val="1"/>
      <w:numFmt w:val="bullet"/>
      <w:isLgl w:val="false"/>
      <w:suff w:val="tab"/>
      <w:lvlText w:val=""/>
      <w:lvlJc w:val="left"/>
      <w:pPr>
        <w:ind w:left="720" w:hanging="360"/>
        <w:tabs>
          <w:tab w:val="num" w:pos="720" w:leader="none"/>
        </w:tabs>
      </w:pPr>
      <w:rPr>
        <w:rFonts w:ascii="Symbol" w:hAnsi="Symbol" w:cs="OpenSymbol"/>
      </w:rPr>
    </w:lvl>
    <w:lvl w:ilvl="1">
      <w:start w:val="1"/>
      <w:numFmt w:val="bullet"/>
      <w:isLgl w:val="false"/>
      <w:suff w:val="tab"/>
      <w:lvlText w:val="◦"/>
      <w:lvlJc w:val="left"/>
      <w:pPr>
        <w:ind w:left="1080" w:hanging="360"/>
        <w:tabs>
          <w:tab w:val="num" w:pos="1080" w:leader="none"/>
        </w:tabs>
      </w:pPr>
      <w:rPr>
        <w:rFonts w:ascii="OpenSymbol" w:hAnsi="OpenSymbol" w:cs="OpenSymbol"/>
      </w:rPr>
    </w:lvl>
    <w:lvl w:ilvl="2">
      <w:start w:val="1"/>
      <w:numFmt w:val="bullet"/>
      <w:isLgl w:val="false"/>
      <w:suff w:val="tab"/>
      <w:lvlText w:val="▪"/>
      <w:lvlJc w:val="left"/>
      <w:pPr>
        <w:ind w:left="1440" w:hanging="360"/>
        <w:tabs>
          <w:tab w:val="num" w:pos="1440" w:leader="none"/>
        </w:tabs>
      </w:pPr>
      <w:rPr>
        <w:rFonts w:ascii="OpenSymbol" w:hAnsi="OpenSymbol" w:cs="OpenSymbol"/>
      </w:rPr>
    </w:lvl>
    <w:lvl w:ilvl="3">
      <w:start w:val="1"/>
      <w:numFmt w:val="bullet"/>
      <w:isLgl w:val="false"/>
      <w:suff w:val="tab"/>
      <w:lvlText w:val=""/>
      <w:lvlJc w:val="left"/>
      <w:pPr>
        <w:ind w:left="1800" w:hanging="360"/>
        <w:tabs>
          <w:tab w:val="num" w:pos="1800" w:leader="none"/>
        </w:tabs>
      </w:pPr>
      <w:rPr>
        <w:rFonts w:ascii="Symbol" w:hAnsi="Symbol" w:cs="OpenSymbol"/>
      </w:rPr>
    </w:lvl>
    <w:lvl w:ilvl="4">
      <w:start w:val="1"/>
      <w:numFmt w:val="bullet"/>
      <w:isLgl w:val="false"/>
      <w:suff w:val="tab"/>
      <w:lvlText w:val="◦"/>
      <w:lvlJc w:val="left"/>
      <w:pPr>
        <w:ind w:left="2160" w:hanging="360"/>
        <w:tabs>
          <w:tab w:val="num" w:pos="2160" w:leader="none"/>
        </w:tabs>
      </w:pPr>
      <w:rPr>
        <w:rFonts w:ascii="OpenSymbol" w:hAnsi="OpenSymbol" w:cs="OpenSymbol"/>
      </w:rPr>
    </w:lvl>
    <w:lvl w:ilvl="5">
      <w:start w:val="1"/>
      <w:numFmt w:val="bullet"/>
      <w:isLgl w:val="false"/>
      <w:suff w:val="tab"/>
      <w:lvlText w:val="▪"/>
      <w:lvlJc w:val="left"/>
      <w:pPr>
        <w:ind w:left="2520" w:hanging="360"/>
        <w:tabs>
          <w:tab w:val="num" w:pos="2520" w:leader="none"/>
        </w:tabs>
      </w:pPr>
      <w:rPr>
        <w:rFonts w:ascii="OpenSymbol" w:hAnsi="OpenSymbol" w:cs="OpenSymbol"/>
      </w:rPr>
    </w:lvl>
    <w:lvl w:ilvl="6">
      <w:start w:val="1"/>
      <w:numFmt w:val="bullet"/>
      <w:isLgl w:val="false"/>
      <w:suff w:val="tab"/>
      <w:lvlText w:val=""/>
      <w:lvlJc w:val="left"/>
      <w:pPr>
        <w:ind w:left="2880" w:hanging="360"/>
        <w:tabs>
          <w:tab w:val="num" w:pos="2880" w:leader="none"/>
        </w:tabs>
      </w:pPr>
      <w:rPr>
        <w:rFonts w:ascii="Symbol" w:hAnsi="Symbol" w:cs="OpenSymbol"/>
      </w:rPr>
    </w:lvl>
    <w:lvl w:ilvl="7">
      <w:start w:val="1"/>
      <w:numFmt w:val="bullet"/>
      <w:isLgl w:val="false"/>
      <w:suff w:val="tab"/>
      <w:lvlText w:val="◦"/>
      <w:lvlJc w:val="left"/>
      <w:pPr>
        <w:ind w:left="3240" w:hanging="360"/>
        <w:tabs>
          <w:tab w:val="num" w:pos="3240" w:leader="none"/>
        </w:tabs>
      </w:pPr>
      <w:rPr>
        <w:rFonts w:ascii="OpenSymbol" w:hAnsi="OpenSymbol" w:cs="OpenSymbol"/>
      </w:rPr>
    </w:lvl>
    <w:lvl w:ilvl="8">
      <w:start w:val="1"/>
      <w:numFmt w:val="bullet"/>
      <w:isLgl w:val="false"/>
      <w:suff w:val="tab"/>
      <w:lvlText w:val="▪"/>
      <w:lvlJc w:val="left"/>
      <w:pPr>
        <w:ind w:left="3600" w:hanging="360"/>
        <w:tabs>
          <w:tab w:val="num" w:pos="3600" w:leader="none"/>
        </w:tabs>
      </w:pPr>
      <w:rPr>
        <w:rFonts w:ascii="OpenSymbol" w:hAnsi="OpenSymbol" w:cs="OpenSymbol"/>
      </w:rPr>
    </w:lvl>
  </w:abstractNum>
  <w:abstractNum w:abstractNumId="3">
    <w:multiLevelType w:val="hybridMultilevel"/>
    <w:lvl w:ilvl="0">
      <w:start w:val="1"/>
      <w:numFmt w:val="bullet"/>
      <w:isLgl w:val="false"/>
      <w:suff w:val="tab"/>
      <w:lvlText w:val=""/>
      <w:lvlJc w:val="left"/>
      <w:pPr>
        <w:ind w:left="720" w:hanging="360"/>
        <w:tabs>
          <w:tab w:val="num" w:pos="720" w:leader="none"/>
        </w:tabs>
      </w:pPr>
      <w:rPr>
        <w:rFonts w:ascii="Symbol" w:hAnsi="Symbol" w:cs="OpenSymbol"/>
      </w:rPr>
    </w:lvl>
    <w:lvl w:ilvl="1">
      <w:start w:val="1"/>
      <w:numFmt w:val="bullet"/>
      <w:isLgl w:val="false"/>
      <w:suff w:val="tab"/>
      <w:lvlText w:val="◦"/>
      <w:lvlJc w:val="left"/>
      <w:pPr>
        <w:ind w:left="1080" w:hanging="360"/>
        <w:tabs>
          <w:tab w:val="num" w:pos="1080" w:leader="none"/>
        </w:tabs>
      </w:pPr>
      <w:rPr>
        <w:rFonts w:ascii="OpenSymbol" w:hAnsi="OpenSymbol" w:cs="OpenSymbol"/>
      </w:rPr>
    </w:lvl>
    <w:lvl w:ilvl="2">
      <w:start w:val="1"/>
      <w:numFmt w:val="bullet"/>
      <w:isLgl w:val="false"/>
      <w:suff w:val="tab"/>
      <w:lvlText w:val="▪"/>
      <w:lvlJc w:val="left"/>
      <w:pPr>
        <w:ind w:left="1440" w:hanging="360"/>
        <w:tabs>
          <w:tab w:val="num" w:pos="1440" w:leader="none"/>
        </w:tabs>
      </w:pPr>
      <w:rPr>
        <w:rFonts w:ascii="OpenSymbol" w:hAnsi="OpenSymbol" w:cs="OpenSymbol"/>
      </w:rPr>
    </w:lvl>
    <w:lvl w:ilvl="3">
      <w:start w:val="1"/>
      <w:numFmt w:val="bullet"/>
      <w:isLgl w:val="false"/>
      <w:suff w:val="tab"/>
      <w:lvlText w:val=""/>
      <w:lvlJc w:val="left"/>
      <w:pPr>
        <w:ind w:left="1800" w:hanging="360"/>
        <w:tabs>
          <w:tab w:val="num" w:pos="1800" w:leader="none"/>
        </w:tabs>
      </w:pPr>
      <w:rPr>
        <w:rFonts w:ascii="Symbol" w:hAnsi="Symbol" w:cs="OpenSymbol"/>
      </w:rPr>
    </w:lvl>
    <w:lvl w:ilvl="4">
      <w:start w:val="1"/>
      <w:numFmt w:val="bullet"/>
      <w:isLgl w:val="false"/>
      <w:suff w:val="tab"/>
      <w:lvlText w:val="◦"/>
      <w:lvlJc w:val="left"/>
      <w:pPr>
        <w:ind w:left="2160" w:hanging="360"/>
        <w:tabs>
          <w:tab w:val="num" w:pos="2160" w:leader="none"/>
        </w:tabs>
      </w:pPr>
      <w:rPr>
        <w:rFonts w:ascii="OpenSymbol" w:hAnsi="OpenSymbol" w:cs="OpenSymbol"/>
      </w:rPr>
    </w:lvl>
    <w:lvl w:ilvl="5">
      <w:start w:val="1"/>
      <w:numFmt w:val="bullet"/>
      <w:isLgl w:val="false"/>
      <w:suff w:val="tab"/>
      <w:lvlText w:val="▪"/>
      <w:lvlJc w:val="left"/>
      <w:pPr>
        <w:ind w:left="2520" w:hanging="360"/>
        <w:tabs>
          <w:tab w:val="num" w:pos="2520" w:leader="none"/>
        </w:tabs>
      </w:pPr>
      <w:rPr>
        <w:rFonts w:ascii="OpenSymbol" w:hAnsi="OpenSymbol" w:cs="OpenSymbol"/>
      </w:rPr>
    </w:lvl>
    <w:lvl w:ilvl="6">
      <w:start w:val="1"/>
      <w:numFmt w:val="bullet"/>
      <w:isLgl w:val="false"/>
      <w:suff w:val="tab"/>
      <w:lvlText w:val=""/>
      <w:lvlJc w:val="left"/>
      <w:pPr>
        <w:ind w:left="2880" w:hanging="360"/>
        <w:tabs>
          <w:tab w:val="num" w:pos="2880" w:leader="none"/>
        </w:tabs>
      </w:pPr>
      <w:rPr>
        <w:rFonts w:ascii="Symbol" w:hAnsi="Symbol" w:cs="OpenSymbol"/>
      </w:rPr>
    </w:lvl>
    <w:lvl w:ilvl="7">
      <w:start w:val="1"/>
      <w:numFmt w:val="bullet"/>
      <w:isLgl w:val="false"/>
      <w:suff w:val="tab"/>
      <w:lvlText w:val="◦"/>
      <w:lvlJc w:val="left"/>
      <w:pPr>
        <w:ind w:left="3240" w:hanging="360"/>
        <w:tabs>
          <w:tab w:val="num" w:pos="3240" w:leader="none"/>
        </w:tabs>
      </w:pPr>
      <w:rPr>
        <w:rFonts w:ascii="OpenSymbol" w:hAnsi="OpenSymbol" w:cs="OpenSymbol"/>
      </w:rPr>
    </w:lvl>
    <w:lvl w:ilvl="8">
      <w:start w:val="1"/>
      <w:numFmt w:val="bullet"/>
      <w:isLgl w:val="false"/>
      <w:suff w:val="tab"/>
      <w:lvlText w:val="▪"/>
      <w:lvlJc w:val="left"/>
      <w:pPr>
        <w:ind w:left="3600" w:hanging="360"/>
        <w:tabs>
          <w:tab w:val="num" w:pos="3600" w:leader="none"/>
        </w:tabs>
      </w:pPr>
      <w:rPr>
        <w:rFonts w:ascii="OpenSymbol" w:hAnsi="OpenSymbol" w:cs="OpenSymbol"/>
      </w:rPr>
    </w:lvl>
  </w:abstractNum>
  <w:abstractNum w:abstractNumId="4">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
    <w:multiLevelType w:val="hybridMultilevel"/>
    <w:lvl w:ilvl="0">
      <w:start w:val="1"/>
      <w:numFmt w:val="decimal"/>
      <w:isLgl w:val="false"/>
      <w:suff w:val="tab"/>
      <w:lvlText w:val="%1."/>
      <w:lvlJc w:val="left"/>
      <w:pPr>
        <w:ind w:left="360" w:hanging="360"/>
      </w:pPr>
      <w:rPr>
        <w:rFonts w:cs="Times New Roman"/>
      </w:rPr>
    </w:lvl>
    <w:lvl w:ilvl="1">
      <w:start w:val="1"/>
      <w:numFmt w:val="lowerLetter"/>
      <w:isLgl w:val="false"/>
      <w:suff w:val="tab"/>
      <w:lvlText w:val="%2."/>
      <w:lvlJc w:val="left"/>
      <w:pPr>
        <w:ind w:left="1080" w:hanging="360"/>
      </w:pPr>
      <w:rPr>
        <w:rFonts w:cs="Times New Roman"/>
      </w:rPr>
    </w:lvl>
    <w:lvl w:ilvl="2">
      <w:start w:val="1"/>
      <w:numFmt w:val="lowerRoman"/>
      <w:isLgl w:val="false"/>
      <w:suff w:val="tab"/>
      <w:lvlText w:val="%3."/>
      <w:lvlJc w:val="right"/>
      <w:pPr>
        <w:ind w:left="1800" w:hanging="180"/>
      </w:pPr>
      <w:rPr>
        <w:rFonts w:cs="Times New Roman"/>
      </w:rPr>
    </w:lvl>
    <w:lvl w:ilvl="3">
      <w:start w:val="1"/>
      <w:numFmt w:val="decimal"/>
      <w:isLgl w:val="false"/>
      <w:suff w:val="tab"/>
      <w:lvlText w:val="%4."/>
      <w:lvlJc w:val="left"/>
      <w:pPr>
        <w:ind w:left="2520" w:hanging="360"/>
      </w:pPr>
      <w:rPr>
        <w:rFonts w:cs="Times New Roman"/>
      </w:rPr>
    </w:lvl>
    <w:lvl w:ilvl="4">
      <w:start w:val="1"/>
      <w:numFmt w:val="lowerLetter"/>
      <w:isLgl w:val="false"/>
      <w:suff w:val="tab"/>
      <w:lvlText w:val="%5."/>
      <w:lvlJc w:val="left"/>
      <w:pPr>
        <w:ind w:left="3240" w:hanging="360"/>
      </w:pPr>
      <w:rPr>
        <w:rFonts w:cs="Times New Roman"/>
      </w:rPr>
    </w:lvl>
    <w:lvl w:ilvl="5">
      <w:start w:val="1"/>
      <w:numFmt w:val="lowerRoman"/>
      <w:isLgl w:val="false"/>
      <w:suff w:val="tab"/>
      <w:lvlText w:val="%6."/>
      <w:lvlJc w:val="right"/>
      <w:pPr>
        <w:ind w:left="3960" w:hanging="180"/>
      </w:pPr>
      <w:rPr>
        <w:rFonts w:cs="Times New Roman"/>
      </w:rPr>
    </w:lvl>
    <w:lvl w:ilvl="6">
      <w:start w:val="1"/>
      <w:numFmt w:val="decimal"/>
      <w:isLgl w:val="false"/>
      <w:suff w:val="tab"/>
      <w:lvlText w:val="%7."/>
      <w:lvlJc w:val="left"/>
      <w:pPr>
        <w:ind w:left="4680" w:hanging="360"/>
      </w:pPr>
      <w:rPr>
        <w:rFonts w:cs="Times New Roman"/>
      </w:rPr>
    </w:lvl>
    <w:lvl w:ilvl="7">
      <w:start w:val="1"/>
      <w:numFmt w:val="lowerLetter"/>
      <w:isLgl w:val="false"/>
      <w:suff w:val="tab"/>
      <w:lvlText w:val="%8."/>
      <w:lvlJc w:val="left"/>
      <w:pPr>
        <w:ind w:left="5400" w:hanging="360"/>
      </w:pPr>
      <w:rPr>
        <w:rFonts w:cs="Times New Roman"/>
      </w:rPr>
    </w:lvl>
    <w:lvl w:ilvl="8">
      <w:start w:val="1"/>
      <w:numFmt w:val="lowerRoman"/>
      <w:isLgl w:val="false"/>
      <w:suff w:val="tab"/>
      <w:lvlText w:val="%9."/>
      <w:lvlJc w:val="right"/>
      <w:pPr>
        <w:ind w:left="6120" w:hanging="180"/>
      </w:pPr>
      <w:rPr>
        <w:rFonts w:cs="Times New Roman"/>
      </w:rPr>
    </w:lvl>
  </w:abstractNum>
  <w:abstractNum w:abstractNumId="6">
    <w:multiLevelType w:val="hybridMultilevel"/>
    <w:lvl w:ilvl="0">
      <w:start w:val="1"/>
      <w:numFmt w:val="decimal"/>
      <w:isLgl w:val="false"/>
      <w:suff w:val="tab"/>
      <w:lvlText w:val="%1)"/>
      <w:lvlJc w:val="left"/>
      <w:pPr>
        <w:ind w:left="360" w:hanging="360"/>
      </w:pPr>
    </w:lvl>
    <w:lvl w:ilvl="1">
      <w:start w:val="1"/>
      <w:numFmt w:val="lowerLetter"/>
      <w:isLgl w:val="false"/>
      <w:suff w:val="tab"/>
      <w:lvlText w:val="%2."/>
      <w:lvlJc w:val="left"/>
      <w:pPr>
        <w:ind w:left="1080" w:hanging="360"/>
      </w:pPr>
    </w:lvl>
    <w:lvl w:ilvl="2">
      <w:start w:val="1"/>
      <w:numFmt w:val="lowerRoman"/>
      <w:isLgl w:val="false"/>
      <w:suff w:val="tab"/>
      <w:lvlText w:val="%3."/>
      <w:lvlJc w:val="right"/>
      <w:pPr>
        <w:ind w:left="1800" w:hanging="180"/>
      </w:pPr>
    </w:lvl>
    <w:lvl w:ilvl="3">
      <w:start w:val="1"/>
      <w:numFmt w:val="decimal"/>
      <w:isLgl w:val="false"/>
      <w:suff w:val="tab"/>
      <w:lvlText w:val="%4."/>
      <w:lvlJc w:val="left"/>
      <w:pPr>
        <w:ind w:left="2520" w:hanging="360"/>
      </w:pPr>
    </w:lvl>
    <w:lvl w:ilvl="4">
      <w:start w:val="1"/>
      <w:numFmt w:val="lowerLetter"/>
      <w:isLgl w:val="false"/>
      <w:suff w:val="tab"/>
      <w:lvlText w:val="%5."/>
      <w:lvlJc w:val="left"/>
      <w:pPr>
        <w:ind w:left="3240" w:hanging="360"/>
      </w:pPr>
    </w:lvl>
    <w:lvl w:ilvl="5">
      <w:start w:val="1"/>
      <w:numFmt w:val="lowerRoman"/>
      <w:isLgl w:val="false"/>
      <w:suff w:val="tab"/>
      <w:lvlText w:val="%6."/>
      <w:lvlJc w:val="right"/>
      <w:pPr>
        <w:ind w:left="3960" w:hanging="180"/>
      </w:pPr>
    </w:lvl>
    <w:lvl w:ilvl="6">
      <w:start w:val="1"/>
      <w:numFmt w:val="decimal"/>
      <w:isLgl w:val="false"/>
      <w:suff w:val="tab"/>
      <w:lvlText w:val="%7."/>
      <w:lvlJc w:val="left"/>
      <w:pPr>
        <w:ind w:left="4680" w:hanging="360"/>
      </w:pPr>
    </w:lvl>
    <w:lvl w:ilvl="7">
      <w:start w:val="1"/>
      <w:numFmt w:val="lowerLetter"/>
      <w:isLgl w:val="false"/>
      <w:suff w:val="tab"/>
      <w:lvlText w:val="%8."/>
      <w:lvlJc w:val="left"/>
      <w:pPr>
        <w:ind w:left="5400" w:hanging="360"/>
      </w:pPr>
    </w:lvl>
    <w:lvl w:ilvl="8">
      <w:start w:val="1"/>
      <w:numFmt w:val="lowerRoman"/>
      <w:isLgl w:val="false"/>
      <w:suff w:val="tab"/>
      <w:lvlText w:val="%9."/>
      <w:lvlJc w:val="right"/>
      <w:pPr>
        <w:ind w:left="6120" w:hanging="180"/>
      </w:pPr>
    </w:lvl>
  </w:abstractNum>
  <w:abstractNum w:abstractNumId="7">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8">
    <w:multiLevelType w:val="hybridMultilevel"/>
    <w:lvl w:ilvl="0">
      <w:start w:val="1"/>
      <w:numFmt w:val="decimal"/>
      <w:isLgl w:val="false"/>
      <w:suff w:val="tab"/>
      <w:lvlText w:val="%1."/>
      <w:lvlJc w:val="left"/>
      <w:pPr>
        <w:ind w:left="720" w:hanging="360"/>
        <w:tabs>
          <w:tab w:val="num" w:pos="72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9">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0">
    <w:multiLevelType w:val="hybridMultilevel"/>
    <w:lvl w:ilvl="0">
      <w:start w:val="1"/>
      <w:numFmt w:val="decimal"/>
      <w:isLgl w:val="false"/>
      <w:suff w:val="tab"/>
      <w:lvlText w:val="%1)"/>
      <w:lvlJc w:val="left"/>
      <w:pPr>
        <w:ind w:left="720" w:hanging="360"/>
      </w:pPr>
      <w:rPr>
        <w:sz w:val="22"/>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1">
    <w:multiLevelType w:val="hybridMultilevel"/>
    <w:lvl w:ilvl="0">
      <w:start w:val="1"/>
      <w:numFmt w:val="decimal"/>
      <w:isLgl w:val="false"/>
      <w:suff w:val="tab"/>
      <w:lvlText w:val="%1."/>
      <w:lvlJc w:val="left"/>
      <w:pPr>
        <w:ind w:left="720" w:hanging="360"/>
      </w:pPr>
      <w:rPr>
        <w:rFonts w:cs="Times New Roman"/>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12">
    <w:multiLevelType w:val="hybridMultilevel"/>
    <w:lvl w:ilvl="0">
      <w:start w:val="1"/>
      <w:numFmt w:val="decimal"/>
      <w:isLgl w:val="false"/>
      <w:suff w:val="tab"/>
      <w:lvlText w:val="%1."/>
      <w:lvlJc w:val="left"/>
      <w:pPr>
        <w:ind w:left="360" w:hanging="360"/>
        <w:tabs>
          <w:tab w:val="num" w:pos="36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3">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4">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
    <w:multiLevelType w:val="hybridMultilevel"/>
    <w:lvl w:ilvl="0">
      <w:start w:val="1"/>
      <w:numFmt w:val="decimal"/>
      <w:isLgl w:val="false"/>
      <w:suff w:val="tab"/>
      <w:lvlText w:val="%1."/>
      <w:legacy w:legacy="1" w:legacyIndent="0" w:legacySpace="0"/>
      <w:lvlJc w:val="left"/>
      <w:pPr>
        <w:ind w:left="283" w:hanging="283"/>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7">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8">
    <w:multiLevelType w:val="hybridMultilevel"/>
    <w:lvl w:ilvl="0">
      <w:start w:val="1"/>
      <w:numFmt w:val="bullet"/>
      <w:isLgl w:val="false"/>
      <w:suff w:val="tab"/>
      <w:lvlText w:val="-"/>
      <w:lvlJc w:val="left"/>
      <w:pPr>
        <w:ind w:left="1080" w:hanging="360"/>
      </w:pPr>
      <w:rPr>
        <w:rFonts w:ascii="Calibri" w:hAnsi="Calibri" w:eastAsia="Calibri" w:cs="Calibri"/>
      </w:rPr>
    </w:lvl>
    <w:lvl w:ilvl="1">
      <w:start w:val="1"/>
      <w:numFmt w:val="bullet"/>
      <w:isLgl w:val="false"/>
      <w:suff w:val="tab"/>
      <w:lvlText w:val="o"/>
      <w:lvlJc w:val="left"/>
      <w:pPr>
        <w:ind w:left="1800" w:hanging="360"/>
      </w:pPr>
      <w:rPr>
        <w:rFonts w:ascii="Courier New" w:hAnsi="Courier New" w:cs="Courier New"/>
      </w:rPr>
    </w:lvl>
    <w:lvl w:ilvl="2">
      <w:start w:val="1"/>
      <w:numFmt w:val="bullet"/>
      <w:isLgl w:val="false"/>
      <w:suff w:val="tab"/>
      <w:lvlText w:val=""/>
      <w:lvlJc w:val="left"/>
      <w:pPr>
        <w:ind w:left="2520" w:hanging="360"/>
      </w:pPr>
      <w:rPr>
        <w:rFonts w:ascii="Wingdings" w:hAnsi="Wingdings"/>
      </w:rPr>
    </w:lvl>
    <w:lvl w:ilvl="3">
      <w:start w:val="1"/>
      <w:numFmt w:val="bullet"/>
      <w:isLgl w:val="false"/>
      <w:suff w:val="tab"/>
      <w:lvlText w:val=""/>
      <w:lvlJc w:val="left"/>
      <w:pPr>
        <w:ind w:left="3240" w:hanging="360"/>
      </w:pPr>
      <w:rPr>
        <w:rFonts w:ascii="Symbol" w:hAnsi="Symbol"/>
      </w:rPr>
    </w:lvl>
    <w:lvl w:ilvl="4">
      <w:start w:val="1"/>
      <w:numFmt w:val="bullet"/>
      <w:isLgl w:val="false"/>
      <w:suff w:val="tab"/>
      <w:lvlText w:val="o"/>
      <w:lvlJc w:val="left"/>
      <w:pPr>
        <w:ind w:left="3960" w:hanging="360"/>
      </w:pPr>
      <w:rPr>
        <w:rFonts w:ascii="Courier New" w:hAnsi="Courier New" w:cs="Courier New"/>
      </w:rPr>
    </w:lvl>
    <w:lvl w:ilvl="5">
      <w:start w:val="1"/>
      <w:numFmt w:val="bullet"/>
      <w:isLgl w:val="false"/>
      <w:suff w:val="tab"/>
      <w:lvlText w:val=""/>
      <w:lvlJc w:val="left"/>
      <w:pPr>
        <w:ind w:left="4680" w:hanging="360"/>
      </w:pPr>
      <w:rPr>
        <w:rFonts w:ascii="Wingdings" w:hAnsi="Wingdings"/>
      </w:rPr>
    </w:lvl>
    <w:lvl w:ilvl="6">
      <w:start w:val="1"/>
      <w:numFmt w:val="bullet"/>
      <w:isLgl w:val="false"/>
      <w:suff w:val="tab"/>
      <w:lvlText w:val=""/>
      <w:lvlJc w:val="left"/>
      <w:pPr>
        <w:ind w:left="5400" w:hanging="360"/>
      </w:pPr>
      <w:rPr>
        <w:rFonts w:ascii="Symbol" w:hAnsi="Symbol"/>
      </w:rPr>
    </w:lvl>
    <w:lvl w:ilvl="7">
      <w:start w:val="1"/>
      <w:numFmt w:val="bullet"/>
      <w:isLgl w:val="false"/>
      <w:suff w:val="tab"/>
      <w:lvlText w:val="o"/>
      <w:lvlJc w:val="left"/>
      <w:pPr>
        <w:ind w:left="6120" w:hanging="360"/>
      </w:pPr>
      <w:rPr>
        <w:rFonts w:ascii="Courier New" w:hAnsi="Courier New" w:cs="Courier New"/>
      </w:rPr>
    </w:lvl>
    <w:lvl w:ilvl="8">
      <w:start w:val="1"/>
      <w:numFmt w:val="bullet"/>
      <w:isLgl w:val="false"/>
      <w:suff w:val="tab"/>
      <w:lvlText w:val=""/>
      <w:lvlJc w:val="left"/>
      <w:pPr>
        <w:ind w:left="6840" w:hanging="360"/>
      </w:pPr>
      <w:rPr>
        <w:rFonts w:ascii="Wingdings" w:hAnsi="Wingdings"/>
      </w:rPr>
    </w:lvl>
  </w:abstractNum>
  <w:abstractNum w:abstractNumId="19">
    <w:multiLevelType w:val="hybridMultilevel"/>
    <w:lvl w:ilvl="0">
      <w:start w:val="1"/>
      <w:numFmt w:val="decimal"/>
      <w:isLgl w:val="false"/>
      <w:suff w:val="tab"/>
      <w:lvlText w:val="%1."/>
      <w:lvlJc w:val="left"/>
      <w:pPr>
        <w:ind w:left="927" w:hanging="360"/>
      </w:p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20">
    <w:multiLevelType w:val="hybridMultilevel"/>
    <w:lvl w:ilvl="0">
      <w:start w:val="1"/>
      <w:numFmt w:val="decimal"/>
      <w:isLgl w:val="false"/>
      <w:suff w:val="tab"/>
      <w:lvlText w:val="%1."/>
      <w:lvlJc w:val="left"/>
      <w:pPr>
        <w:ind w:left="720" w:hanging="360"/>
      </w:pPr>
      <w:rPr>
        <w:rFonts w:eastAsia="Times New Roman" w:cs="Times New Roman"/>
        <w:sz w:val="28"/>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21">
    <w:multiLevelType w:val="hybridMultilevel"/>
    <w:lvl w:ilvl="0">
      <w:start w:val="1"/>
      <w:numFmt w:val="decimal"/>
      <w:pStyle w:val="894"/>
      <w:isLgl w:val="false"/>
      <w:suff w:val="tab"/>
      <w:lvlText w:val="%1."/>
      <w:lvlJc w:val="left"/>
      <w:pPr>
        <w:ind w:left="1680" w:hanging="360"/>
      </w:pPr>
      <w:rPr>
        <w:b/>
        <w:i w:val="0"/>
      </w:rPr>
    </w:lvl>
    <w:lvl w:ilvl="1">
      <w:start w:val="1"/>
      <w:numFmt w:val="decimal"/>
      <w:isLgl w:val="false"/>
      <w:suff w:val="tab"/>
      <w:lvlText w:val="%1.%2."/>
      <w:lvlJc w:val="left"/>
      <w:pPr>
        <w:ind w:left="792" w:hanging="432"/>
      </w:pPr>
      <w:rPr>
        <w:b/>
        <w:i w:val="0"/>
      </w:r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22">
    <w:multiLevelType w:val="hybridMultilevel"/>
    <w:lvl w:ilvl="0">
      <w:start w:val="1"/>
      <w:numFmt w:val="bullet"/>
      <w:isLgl w:val="false"/>
      <w:suff w:val="tab"/>
      <w:lvlText w:val="–"/>
      <w:lvlJc w:val="left"/>
      <w:pPr>
        <w:ind w:left="1249" w:hanging="360"/>
      </w:pPr>
      <w:rPr>
        <w:rFonts w:hint="default" w:ascii="Arial" w:hAnsi="Arial" w:eastAsia="Arial" w:cs="Arial"/>
      </w:rPr>
    </w:lvl>
    <w:lvl w:ilvl="1">
      <w:start w:val="1"/>
      <w:numFmt w:val="bullet"/>
      <w:isLgl w:val="false"/>
      <w:suff w:val="tab"/>
      <w:lvlText w:val="o"/>
      <w:lvlJc w:val="left"/>
      <w:pPr>
        <w:ind w:left="1969" w:hanging="360"/>
      </w:pPr>
      <w:rPr>
        <w:rFonts w:hint="default" w:ascii="Courier New" w:hAnsi="Courier New" w:eastAsia="Courier New" w:cs="Courier New"/>
      </w:rPr>
    </w:lvl>
    <w:lvl w:ilvl="2">
      <w:start w:val="1"/>
      <w:numFmt w:val="bullet"/>
      <w:isLgl w:val="false"/>
      <w:suff w:val="tab"/>
      <w:lvlText w:val="§"/>
      <w:lvlJc w:val="left"/>
      <w:pPr>
        <w:ind w:left="2689" w:hanging="360"/>
      </w:pPr>
      <w:rPr>
        <w:rFonts w:hint="default" w:ascii="Wingdings" w:hAnsi="Wingdings" w:eastAsia="Wingdings" w:cs="Wingdings"/>
      </w:rPr>
    </w:lvl>
    <w:lvl w:ilvl="3">
      <w:start w:val="1"/>
      <w:numFmt w:val="bullet"/>
      <w:isLgl w:val="false"/>
      <w:suff w:val="tab"/>
      <w:lvlText w:val="·"/>
      <w:lvlJc w:val="left"/>
      <w:pPr>
        <w:ind w:left="3409" w:hanging="360"/>
      </w:pPr>
      <w:rPr>
        <w:rFonts w:hint="default" w:ascii="Symbol" w:hAnsi="Symbol" w:eastAsia="Symbol" w:cs="Symbol"/>
      </w:rPr>
    </w:lvl>
    <w:lvl w:ilvl="4">
      <w:start w:val="1"/>
      <w:numFmt w:val="bullet"/>
      <w:isLgl w:val="false"/>
      <w:suff w:val="tab"/>
      <w:lvlText w:val="o"/>
      <w:lvlJc w:val="left"/>
      <w:pPr>
        <w:ind w:left="4129" w:hanging="360"/>
      </w:pPr>
      <w:rPr>
        <w:rFonts w:hint="default" w:ascii="Courier New" w:hAnsi="Courier New" w:eastAsia="Courier New" w:cs="Courier New"/>
      </w:rPr>
    </w:lvl>
    <w:lvl w:ilvl="5">
      <w:start w:val="1"/>
      <w:numFmt w:val="bullet"/>
      <w:isLgl w:val="false"/>
      <w:suff w:val="tab"/>
      <w:lvlText w:val="§"/>
      <w:lvlJc w:val="left"/>
      <w:pPr>
        <w:ind w:left="4849" w:hanging="360"/>
      </w:pPr>
      <w:rPr>
        <w:rFonts w:hint="default" w:ascii="Wingdings" w:hAnsi="Wingdings" w:eastAsia="Wingdings" w:cs="Wingdings"/>
      </w:rPr>
    </w:lvl>
    <w:lvl w:ilvl="6">
      <w:start w:val="1"/>
      <w:numFmt w:val="bullet"/>
      <w:isLgl w:val="false"/>
      <w:suff w:val="tab"/>
      <w:lvlText w:val="·"/>
      <w:lvlJc w:val="left"/>
      <w:pPr>
        <w:ind w:left="5569" w:hanging="360"/>
      </w:pPr>
      <w:rPr>
        <w:rFonts w:hint="default" w:ascii="Symbol" w:hAnsi="Symbol" w:eastAsia="Symbol" w:cs="Symbol"/>
      </w:rPr>
    </w:lvl>
    <w:lvl w:ilvl="7">
      <w:start w:val="1"/>
      <w:numFmt w:val="bullet"/>
      <w:isLgl w:val="false"/>
      <w:suff w:val="tab"/>
      <w:lvlText w:val="o"/>
      <w:lvlJc w:val="left"/>
      <w:pPr>
        <w:ind w:left="6289" w:hanging="360"/>
      </w:pPr>
      <w:rPr>
        <w:rFonts w:hint="default" w:ascii="Courier New" w:hAnsi="Courier New" w:eastAsia="Courier New" w:cs="Courier New"/>
      </w:rPr>
    </w:lvl>
    <w:lvl w:ilvl="8">
      <w:start w:val="1"/>
      <w:numFmt w:val="bullet"/>
      <w:isLgl w:val="false"/>
      <w:suff w:val="tab"/>
      <w:lvlText w:val="§"/>
      <w:lvlJc w:val="left"/>
      <w:pPr>
        <w:ind w:left="7009" w:hanging="360"/>
      </w:pPr>
      <w:rPr>
        <w:rFonts w:hint="default" w:ascii="Wingdings" w:hAnsi="Wingdings" w:eastAsia="Wingdings" w:cs="Wingdings"/>
      </w:rPr>
    </w:lvl>
  </w:abstractNum>
  <w:abstractNum w:abstractNumId="23">
    <w:multiLevelType w:val="hybridMultilevel"/>
    <w:lvl w:ilvl="0">
      <w:start w:val="1"/>
      <w:numFmt w:val="bullet"/>
      <w:isLgl w:val="false"/>
      <w:suff w:val="tab"/>
      <w:lvlText w:val="–"/>
      <w:lvlJc w:val="left"/>
      <w:pPr>
        <w:ind w:left="1237" w:hanging="360"/>
      </w:pPr>
      <w:rPr>
        <w:rFonts w:hint="default" w:ascii="Arial" w:hAnsi="Arial" w:eastAsia="Arial" w:cs="Arial"/>
      </w:rPr>
    </w:lvl>
    <w:lvl w:ilvl="1">
      <w:start w:val="1"/>
      <w:numFmt w:val="bullet"/>
      <w:isLgl w:val="false"/>
      <w:suff w:val="tab"/>
      <w:lvlText w:val="o"/>
      <w:lvlJc w:val="left"/>
      <w:pPr>
        <w:ind w:left="1957" w:hanging="360"/>
      </w:pPr>
      <w:rPr>
        <w:rFonts w:hint="default" w:ascii="Courier New" w:hAnsi="Courier New" w:eastAsia="Courier New" w:cs="Courier New"/>
      </w:rPr>
    </w:lvl>
    <w:lvl w:ilvl="2">
      <w:start w:val="1"/>
      <w:numFmt w:val="bullet"/>
      <w:isLgl w:val="false"/>
      <w:suff w:val="tab"/>
      <w:lvlText w:val="§"/>
      <w:lvlJc w:val="left"/>
      <w:pPr>
        <w:ind w:left="2677" w:hanging="360"/>
      </w:pPr>
      <w:rPr>
        <w:rFonts w:hint="default" w:ascii="Wingdings" w:hAnsi="Wingdings" w:eastAsia="Wingdings" w:cs="Wingdings"/>
      </w:rPr>
    </w:lvl>
    <w:lvl w:ilvl="3">
      <w:start w:val="1"/>
      <w:numFmt w:val="bullet"/>
      <w:isLgl w:val="false"/>
      <w:suff w:val="tab"/>
      <w:lvlText w:val="·"/>
      <w:lvlJc w:val="left"/>
      <w:pPr>
        <w:ind w:left="3397" w:hanging="360"/>
      </w:pPr>
      <w:rPr>
        <w:rFonts w:hint="default" w:ascii="Symbol" w:hAnsi="Symbol" w:eastAsia="Symbol" w:cs="Symbol"/>
      </w:rPr>
    </w:lvl>
    <w:lvl w:ilvl="4">
      <w:start w:val="1"/>
      <w:numFmt w:val="bullet"/>
      <w:isLgl w:val="false"/>
      <w:suff w:val="tab"/>
      <w:lvlText w:val="o"/>
      <w:lvlJc w:val="left"/>
      <w:pPr>
        <w:ind w:left="4117" w:hanging="360"/>
      </w:pPr>
      <w:rPr>
        <w:rFonts w:hint="default" w:ascii="Courier New" w:hAnsi="Courier New" w:eastAsia="Courier New" w:cs="Courier New"/>
      </w:rPr>
    </w:lvl>
    <w:lvl w:ilvl="5">
      <w:start w:val="1"/>
      <w:numFmt w:val="bullet"/>
      <w:isLgl w:val="false"/>
      <w:suff w:val="tab"/>
      <w:lvlText w:val="§"/>
      <w:lvlJc w:val="left"/>
      <w:pPr>
        <w:ind w:left="4837" w:hanging="360"/>
      </w:pPr>
      <w:rPr>
        <w:rFonts w:hint="default" w:ascii="Wingdings" w:hAnsi="Wingdings" w:eastAsia="Wingdings" w:cs="Wingdings"/>
      </w:rPr>
    </w:lvl>
    <w:lvl w:ilvl="6">
      <w:start w:val="1"/>
      <w:numFmt w:val="bullet"/>
      <w:isLgl w:val="false"/>
      <w:suff w:val="tab"/>
      <w:lvlText w:val="·"/>
      <w:lvlJc w:val="left"/>
      <w:pPr>
        <w:ind w:left="5557" w:hanging="360"/>
      </w:pPr>
      <w:rPr>
        <w:rFonts w:hint="default" w:ascii="Symbol" w:hAnsi="Symbol" w:eastAsia="Symbol" w:cs="Symbol"/>
      </w:rPr>
    </w:lvl>
    <w:lvl w:ilvl="7">
      <w:start w:val="1"/>
      <w:numFmt w:val="bullet"/>
      <w:isLgl w:val="false"/>
      <w:suff w:val="tab"/>
      <w:lvlText w:val="o"/>
      <w:lvlJc w:val="left"/>
      <w:pPr>
        <w:ind w:left="6277" w:hanging="360"/>
      </w:pPr>
      <w:rPr>
        <w:rFonts w:hint="default" w:ascii="Courier New" w:hAnsi="Courier New" w:eastAsia="Courier New" w:cs="Courier New"/>
      </w:rPr>
    </w:lvl>
    <w:lvl w:ilvl="8">
      <w:start w:val="1"/>
      <w:numFmt w:val="bullet"/>
      <w:isLgl w:val="false"/>
      <w:suff w:val="tab"/>
      <w:lvlText w:val="§"/>
      <w:lvlJc w:val="left"/>
      <w:pPr>
        <w:ind w:left="6997" w:hanging="360"/>
      </w:pPr>
      <w:rPr>
        <w:rFonts w:hint="default" w:ascii="Wingdings" w:hAnsi="Wingdings" w:eastAsia="Wingdings" w:cs="Wingdings"/>
      </w:rPr>
    </w:lvl>
  </w:abstractNum>
  <w:num w:numId="1">
    <w:abstractNumId w:val="8"/>
  </w:num>
  <w:num w:numId="2">
    <w:abstractNumId w:val="21"/>
  </w:num>
  <w:num w:numId="3">
    <w:abstractNumId w:val="10"/>
  </w:num>
  <w:num w:numId="4">
    <w:abstractNumId w:val="11"/>
  </w:num>
  <w:num w:numId="5">
    <w:abstractNumId w:val="5"/>
  </w:num>
  <w:num w:numId="6">
    <w:abstractNumId w:val="7"/>
  </w:num>
  <w:num w:numId="7">
    <w:abstractNumId w:val="14"/>
  </w:num>
  <w:num w:numId="8">
    <w:abstractNumId w:val="16"/>
  </w:num>
  <w:num w:numId="9">
    <w:abstractNumId w:val="15"/>
  </w:num>
  <w:num w:numId="10">
    <w:abstractNumId w:val="0"/>
  </w:num>
  <w:num w:numId="11">
    <w:abstractNumId w:val="1"/>
  </w:num>
  <w:num w:numId="12">
    <w:abstractNumId w:val="2"/>
  </w:num>
  <w:num w:numId="13">
    <w:abstractNumId w:val="3"/>
  </w:num>
  <w:num w:numId="14">
    <w:abstractNumId w:val="17"/>
  </w:num>
  <w:num w:numId="15">
    <w:abstractNumId w:val="19"/>
  </w:num>
  <w:num w:numId="16">
    <w:abstractNumId w:val="9"/>
  </w:num>
  <w:num w:numId="17">
    <w:abstractNumId w:val="20"/>
  </w:num>
  <w:num w:numId="18">
    <w:abstractNumId w:val="12"/>
  </w:num>
  <w:num w:numId="19">
    <w:abstractNumId w:val="13"/>
  </w:num>
  <w:num w:numId="20">
    <w:abstractNumId w:val="18"/>
  </w:num>
  <w:num w:numId="21">
    <w:abstractNumId w:val="6"/>
  </w:num>
  <w:num w:numId="22">
    <w:abstractNumId w:val="4"/>
  </w:num>
  <w:num w:numId="23">
    <w:abstractNumId w:val="22"/>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3">
    <w:name w:val="Heading 1"/>
    <w:basedOn w:val="880"/>
    <w:next w:val="880"/>
    <w:link w:val="704"/>
    <w:uiPriority w:val="9"/>
    <w:qFormat/>
    <w:pPr>
      <w:keepLines/>
      <w:keepNext/>
      <w:spacing w:before="480" w:after="200"/>
      <w:outlineLvl w:val="0"/>
    </w:pPr>
    <w:rPr>
      <w:rFonts w:ascii="Arial" w:hAnsi="Arial" w:eastAsia="Arial" w:cs="Arial"/>
      <w:sz w:val="40"/>
      <w:szCs w:val="40"/>
    </w:rPr>
  </w:style>
  <w:style w:type="character" w:styleId="704">
    <w:name w:val="Heading 1 Char"/>
    <w:link w:val="703"/>
    <w:uiPriority w:val="9"/>
    <w:rPr>
      <w:rFonts w:ascii="Arial" w:hAnsi="Arial" w:eastAsia="Arial" w:cs="Arial"/>
      <w:sz w:val="40"/>
      <w:szCs w:val="40"/>
    </w:rPr>
  </w:style>
  <w:style w:type="paragraph" w:styleId="705">
    <w:name w:val="Heading 2"/>
    <w:basedOn w:val="880"/>
    <w:next w:val="880"/>
    <w:link w:val="706"/>
    <w:uiPriority w:val="9"/>
    <w:unhideWhenUsed/>
    <w:qFormat/>
    <w:pPr>
      <w:keepLines/>
      <w:keepNext/>
      <w:spacing w:before="360" w:after="200"/>
      <w:outlineLvl w:val="1"/>
    </w:pPr>
    <w:rPr>
      <w:rFonts w:ascii="Arial" w:hAnsi="Arial" w:eastAsia="Arial" w:cs="Arial"/>
      <w:sz w:val="34"/>
    </w:rPr>
  </w:style>
  <w:style w:type="character" w:styleId="706">
    <w:name w:val="Heading 2 Char"/>
    <w:link w:val="705"/>
    <w:uiPriority w:val="9"/>
    <w:rPr>
      <w:rFonts w:ascii="Arial" w:hAnsi="Arial" w:eastAsia="Arial" w:cs="Arial"/>
      <w:sz w:val="34"/>
    </w:rPr>
  </w:style>
  <w:style w:type="paragraph" w:styleId="707">
    <w:name w:val="Heading 3"/>
    <w:basedOn w:val="880"/>
    <w:next w:val="880"/>
    <w:link w:val="708"/>
    <w:uiPriority w:val="9"/>
    <w:unhideWhenUsed/>
    <w:qFormat/>
    <w:pPr>
      <w:keepLines/>
      <w:keepNext/>
      <w:spacing w:before="320" w:after="200"/>
      <w:outlineLvl w:val="2"/>
    </w:pPr>
    <w:rPr>
      <w:rFonts w:ascii="Arial" w:hAnsi="Arial" w:eastAsia="Arial" w:cs="Arial"/>
      <w:sz w:val="30"/>
      <w:szCs w:val="30"/>
    </w:rPr>
  </w:style>
  <w:style w:type="character" w:styleId="708">
    <w:name w:val="Heading 3 Char"/>
    <w:link w:val="707"/>
    <w:uiPriority w:val="9"/>
    <w:rPr>
      <w:rFonts w:ascii="Arial" w:hAnsi="Arial" w:eastAsia="Arial" w:cs="Arial"/>
      <w:sz w:val="30"/>
      <w:szCs w:val="30"/>
    </w:rPr>
  </w:style>
  <w:style w:type="paragraph" w:styleId="709">
    <w:name w:val="Heading 4"/>
    <w:basedOn w:val="880"/>
    <w:next w:val="880"/>
    <w:link w:val="710"/>
    <w:uiPriority w:val="9"/>
    <w:unhideWhenUsed/>
    <w:qFormat/>
    <w:pPr>
      <w:keepLines/>
      <w:keepNext/>
      <w:spacing w:before="320" w:after="200"/>
      <w:outlineLvl w:val="3"/>
    </w:pPr>
    <w:rPr>
      <w:rFonts w:ascii="Arial" w:hAnsi="Arial" w:eastAsia="Arial" w:cs="Arial"/>
      <w:b/>
      <w:bCs/>
      <w:sz w:val="26"/>
      <w:szCs w:val="26"/>
    </w:rPr>
  </w:style>
  <w:style w:type="character" w:styleId="710">
    <w:name w:val="Heading 4 Char"/>
    <w:link w:val="709"/>
    <w:uiPriority w:val="9"/>
    <w:rPr>
      <w:rFonts w:ascii="Arial" w:hAnsi="Arial" w:eastAsia="Arial" w:cs="Arial"/>
      <w:b/>
      <w:bCs/>
      <w:sz w:val="26"/>
      <w:szCs w:val="26"/>
    </w:rPr>
  </w:style>
  <w:style w:type="paragraph" w:styleId="711">
    <w:name w:val="Heading 5"/>
    <w:basedOn w:val="880"/>
    <w:next w:val="880"/>
    <w:link w:val="712"/>
    <w:uiPriority w:val="9"/>
    <w:unhideWhenUsed/>
    <w:qFormat/>
    <w:pPr>
      <w:keepLines/>
      <w:keepNext/>
      <w:spacing w:before="320" w:after="200"/>
      <w:outlineLvl w:val="4"/>
    </w:pPr>
    <w:rPr>
      <w:rFonts w:ascii="Arial" w:hAnsi="Arial" w:eastAsia="Arial" w:cs="Arial"/>
      <w:b/>
      <w:bCs/>
      <w:sz w:val="24"/>
      <w:szCs w:val="24"/>
    </w:rPr>
  </w:style>
  <w:style w:type="character" w:styleId="712">
    <w:name w:val="Heading 5 Char"/>
    <w:link w:val="711"/>
    <w:uiPriority w:val="9"/>
    <w:rPr>
      <w:rFonts w:ascii="Arial" w:hAnsi="Arial" w:eastAsia="Arial" w:cs="Arial"/>
      <w:b/>
      <w:bCs/>
      <w:sz w:val="24"/>
      <w:szCs w:val="24"/>
    </w:rPr>
  </w:style>
  <w:style w:type="paragraph" w:styleId="713">
    <w:name w:val="Heading 6"/>
    <w:basedOn w:val="880"/>
    <w:next w:val="880"/>
    <w:link w:val="714"/>
    <w:uiPriority w:val="9"/>
    <w:unhideWhenUsed/>
    <w:qFormat/>
    <w:pPr>
      <w:keepLines/>
      <w:keepNext/>
      <w:spacing w:before="320" w:after="200"/>
      <w:outlineLvl w:val="5"/>
    </w:pPr>
    <w:rPr>
      <w:rFonts w:ascii="Arial" w:hAnsi="Arial" w:eastAsia="Arial" w:cs="Arial"/>
      <w:b/>
      <w:bCs/>
      <w:sz w:val="22"/>
      <w:szCs w:val="22"/>
    </w:rPr>
  </w:style>
  <w:style w:type="character" w:styleId="714">
    <w:name w:val="Heading 6 Char"/>
    <w:link w:val="713"/>
    <w:uiPriority w:val="9"/>
    <w:rPr>
      <w:rFonts w:ascii="Arial" w:hAnsi="Arial" w:eastAsia="Arial" w:cs="Arial"/>
      <w:b/>
      <w:bCs/>
      <w:sz w:val="22"/>
      <w:szCs w:val="22"/>
    </w:rPr>
  </w:style>
  <w:style w:type="paragraph" w:styleId="715">
    <w:name w:val="Heading 7"/>
    <w:basedOn w:val="880"/>
    <w:next w:val="880"/>
    <w:link w:val="716"/>
    <w:uiPriority w:val="9"/>
    <w:unhideWhenUsed/>
    <w:qFormat/>
    <w:pPr>
      <w:keepLines/>
      <w:keepNext/>
      <w:spacing w:before="320" w:after="200"/>
      <w:outlineLvl w:val="6"/>
    </w:pPr>
    <w:rPr>
      <w:rFonts w:ascii="Arial" w:hAnsi="Arial" w:eastAsia="Arial" w:cs="Arial"/>
      <w:b/>
      <w:bCs/>
      <w:i/>
      <w:iCs/>
      <w:sz w:val="22"/>
      <w:szCs w:val="22"/>
    </w:rPr>
  </w:style>
  <w:style w:type="character" w:styleId="716">
    <w:name w:val="Heading 7 Char"/>
    <w:link w:val="715"/>
    <w:uiPriority w:val="9"/>
    <w:rPr>
      <w:rFonts w:ascii="Arial" w:hAnsi="Arial" w:eastAsia="Arial" w:cs="Arial"/>
      <w:b/>
      <w:bCs/>
      <w:i/>
      <w:iCs/>
      <w:sz w:val="22"/>
      <w:szCs w:val="22"/>
    </w:rPr>
  </w:style>
  <w:style w:type="paragraph" w:styleId="717">
    <w:name w:val="Heading 8"/>
    <w:basedOn w:val="880"/>
    <w:next w:val="880"/>
    <w:link w:val="718"/>
    <w:uiPriority w:val="9"/>
    <w:unhideWhenUsed/>
    <w:qFormat/>
    <w:pPr>
      <w:keepLines/>
      <w:keepNext/>
      <w:spacing w:before="320" w:after="200"/>
      <w:outlineLvl w:val="7"/>
    </w:pPr>
    <w:rPr>
      <w:rFonts w:ascii="Arial" w:hAnsi="Arial" w:eastAsia="Arial" w:cs="Arial"/>
      <w:i/>
      <w:iCs/>
      <w:sz w:val="22"/>
      <w:szCs w:val="22"/>
    </w:rPr>
  </w:style>
  <w:style w:type="character" w:styleId="718">
    <w:name w:val="Heading 8 Char"/>
    <w:link w:val="717"/>
    <w:uiPriority w:val="9"/>
    <w:rPr>
      <w:rFonts w:ascii="Arial" w:hAnsi="Arial" w:eastAsia="Arial" w:cs="Arial"/>
      <w:i/>
      <w:iCs/>
      <w:sz w:val="22"/>
      <w:szCs w:val="22"/>
    </w:rPr>
  </w:style>
  <w:style w:type="paragraph" w:styleId="719">
    <w:name w:val="Heading 9"/>
    <w:basedOn w:val="880"/>
    <w:next w:val="880"/>
    <w:link w:val="720"/>
    <w:uiPriority w:val="9"/>
    <w:unhideWhenUsed/>
    <w:qFormat/>
    <w:pPr>
      <w:keepLines/>
      <w:keepNext/>
      <w:spacing w:before="320" w:after="200"/>
      <w:outlineLvl w:val="8"/>
    </w:pPr>
    <w:rPr>
      <w:rFonts w:ascii="Arial" w:hAnsi="Arial" w:eastAsia="Arial" w:cs="Arial"/>
      <w:i/>
      <w:iCs/>
      <w:sz w:val="21"/>
      <w:szCs w:val="21"/>
    </w:rPr>
  </w:style>
  <w:style w:type="character" w:styleId="720">
    <w:name w:val="Heading 9 Char"/>
    <w:link w:val="719"/>
    <w:uiPriority w:val="9"/>
    <w:rPr>
      <w:rFonts w:ascii="Arial" w:hAnsi="Arial" w:eastAsia="Arial" w:cs="Arial"/>
      <w:i/>
      <w:iCs/>
      <w:sz w:val="21"/>
      <w:szCs w:val="21"/>
    </w:rPr>
  </w:style>
  <w:style w:type="paragraph" w:styleId="721">
    <w:name w:val="No Spacing"/>
    <w:uiPriority w:val="1"/>
    <w:qFormat/>
    <w:pPr>
      <w:spacing w:before="0" w:after="0" w:line="240" w:lineRule="auto"/>
    </w:pPr>
  </w:style>
  <w:style w:type="paragraph" w:styleId="722">
    <w:name w:val="Title"/>
    <w:basedOn w:val="880"/>
    <w:next w:val="880"/>
    <w:link w:val="723"/>
    <w:uiPriority w:val="10"/>
    <w:qFormat/>
    <w:pPr>
      <w:contextualSpacing/>
      <w:spacing w:before="300" w:after="200"/>
    </w:pPr>
    <w:rPr>
      <w:sz w:val="48"/>
      <w:szCs w:val="48"/>
    </w:rPr>
  </w:style>
  <w:style w:type="character" w:styleId="723">
    <w:name w:val="Title Char"/>
    <w:link w:val="722"/>
    <w:uiPriority w:val="10"/>
    <w:rPr>
      <w:sz w:val="48"/>
      <w:szCs w:val="48"/>
    </w:rPr>
  </w:style>
  <w:style w:type="paragraph" w:styleId="724">
    <w:name w:val="Subtitle"/>
    <w:basedOn w:val="880"/>
    <w:next w:val="880"/>
    <w:link w:val="725"/>
    <w:uiPriority w:val="11"/>
    <w:qFormat/>
    <w:pPr>
      <w:spacing w:before="200" w:after="200"/>
    </w:pPr>
    <w:rPr>
      <w:sz w:val="24"/>
      <w:szCs w:val="24"/>
    </w:rPr>
  </w:style>
  <w:style w:type="character" w:styleId="725">
    <w:name w:val="Subtitle Char"/>
    <w:link w:val="724"/>
    <w:uiPriority w:val="11"/>
    <w:rPr>
      <w:sz w:val="24"/>
      <w:szCs w:val="24"/>
    </w:rPr>
  </w:style>
  <w:style w:type="paragraph" w:styleId="726">
    <w:name w:val="Quote"/>
    <w:basedOn w:val="880"/>
    <w:next w:val="880"/>
    <w:link w:val="727"/>
    <w:uiPriority w:val="29"/>
    <w:qFormat/>
    <w:pPr>
      <w:ind w:left="720" w:right="720"/>
    </w:pPr>
    <w:rPr>
      <w:i/>
    </w:rPr>
  </w:style>
  <w:style w:type="character" w:styleId="727">
    <w:name w:val="Quote Char"/>
    <w:link w:val="726"/>
    <w:uiPriority w:val="29"/>
    <w:rPr>
      <w:i/>
    </w:rPr>
  </w:style>
  <w:style w:type="paragraph" w:styleId="728">
    <w:name w:val="Intense Quote"/>
    <w:basedOn w:val="880"/>
    <w:next w:val="880"/>
    <w:link w:val="729"/>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29">
    <w:name w:val="Intense Quote Char"/>
    <w:link w:val="728"/>
    <w:uiPriority w:val="30"/>
    <w:rPr>
      <w:i/>
    </w:rPr>
  </w:style>
  <w:style w:type="paragraph" w:styleId="730">
    <w:name w:val="Header"/>
    <w:basedOn w:val="880"/>
    <w:link w:val="731"/>
    <w:uiPriority w:val="99"/>
    <w:unhideWhenUsed/>
    <w:pPr>
      <w:spacing w:after="0" w:line="240" w:lineRule="auto"/>
      <w:tabs>
        <w:tab w:val="center" w:pos="7143" w:leader="none"/>
        <w:tab w:val="right" w:pos="14287" w:leader="none"/>
      </w:tabs>
    </w:pPr>
  </w:style>
  <w:style w:type="character" w:styleId="731">
    <w:name w:val="Header Char"/>
    <w:link w:val="730"/>
    <w:uiPriority w:val="99"/>
  </w:style>
  <w:style w:type="paragraph" w:styleId="732">
    <w:name w:val="Footer"/>
    <w:basedOn w:val="880"/>
    <w:link w:val="735"/>
    <w:uiPriority w:val="99"/>
    <w:unhideWhenUsed/>
    <w:pPr>
      <w:spacing w:after="0" w:line="240" w:lineRule="auto"/>
      <w:tabs>
        <w:tab w:val="center" w:pos="7143" w:leader="none"/>
        <w:tab w:val="right" w:pos="14287" w:leader="none"/>
      </w:tabs>
    </w:pPr>
  </w:style>
  <w:style w:type="character" w:styleId="733">
    <w:name w:val="Footer Char"/>
    <w:link w:val="732"/>
    <w:uiPriority w:val="99"/>
  </w:style>
  <w:style w:type="paragraph" w:styleId="734">
    <w:name w:val="Caption"/>
    <w:basedOn w:val="880"/>
    <w:next w:val="880"/>
    <w:link w:val="735"/>
    <w:uiPriority w:val="35"/>
    <w:semiHidden/>
    <w:unhideWhenUsed/>
    <w:qFormat/>
    <w:pPr>
      <w:spacing w:line="276" w:lineRule="auto"/>
    </w:pPr>
    <w:rPr>
      <w:b/>
      <w:bCs/>
      <w:color w:val="4f81bd" w:themeColor="accent1"/>
      <w:sz w:val="18"/>
      <w:szCs w:val="18"/>
    </w:rPr>
  </w:style>
  <w:style w:type="character" w:styleId="735">
    <w:name w:val="Caption Char"/>
    <w:basedOn w:val="734"/>
    <w:link w:val="732"/>
    <w:uiPriority w:val="99"/>
  </w:style>
  <w:style w:type="table" w:styleId="736">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37">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38">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9">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0">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41">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2">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43">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44">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45">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46">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47">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48">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49">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50">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51">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52">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53">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54">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55">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56">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57">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8">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9">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0">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1">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2">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3">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4">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65">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66">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67">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68">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69">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70">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71">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72">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73">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74">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75">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76">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77">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78">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9">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80">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81">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82">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3">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4">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5">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86">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87">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88">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89">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90">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91">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92">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93">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94">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95">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96">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97">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98">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99">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00">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01">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02">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03">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04">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05">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06">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07">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08">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809">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10">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811">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812">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813">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14">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15">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816">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817">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18">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19">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20">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5">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6">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7">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28">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29">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30">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31">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32">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33">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34">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35">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36">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37">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38">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39">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40">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41">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42">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43">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44">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45">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46">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47">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48">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49">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50">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51">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52">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53">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54">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55">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56">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57">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58">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59">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60">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61">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62">
    <w:name w:val="Hyperlink"/>
    <w:uiPriority w:val="99"/>
    <w:unhideWhenUsed/>
    <w:rPr>
      <w:color w:val="0000ff" w:themeColor="hyperlink"/>
      <w:u w:val="single"/>
    </w:rPr>
  </w:style>
  <w:style w:type="paragraph" w:styleId="863">
    <w:name w:val="footnote text"/>
    <w:basedOn w:val="880"/>
    <w:link w:val="864"/>
    <w:uiPriority w:val="99"/>
    <w:semiHidden/>
    <w:unhideWhenUsed/>
    <w:pPr>
      <w:spacing w:after="40" w:line="240" w:lineRule="auto"/>
    </w:pPr>
    <w:rPr>
      <w:sz w:val="18"/>
    </w:rPr>
  </w:style>
  <w:style w:type="character" w:styleId="864">
    <w:name w:val="Footnote Text Char"/>
    <w:link w:val="863"/>
    <w:uiPriority w:val="99"/>
    <w:rPr>
      <w:sz w:val="18"/>
    </w:rPr>
  </w:style>
  <w:style w:type="character" w:styleId="865">
    <w:name w:val="footnote reference"/>
    <w:uiPriority w:val="99"/>
    <w:unhideWhenUsed/>
    <w:rPr>
      <w:vertAlign w:val="superscript"/>
    </w:rPr>
  </w:style>
  <w:style w:type="paragraph" w:styleId="866">
    <w:name w:val="endnote text"/>
    <w:basedOn w:val="880"/>
    <w:link w:val="867"/>
    <w:uiPriority w:val="99"/>
    <w:semiHidden/>
    <w:unhideWhenUsed/>
    <w:pPr>
      <w:spacing w:after="0" w:line="240" w:lineRule="auto"/>
    </w:pPr>
    <w:rPr>
      <w:sz w:val="20"/>
    </w:rPr>
  </w:style>
  <w:style w:type="character" w:styleId="867">
    <w:name w:val="Endnote Text Char"/>
    <w:link w:val="866"/>
    <w:uiPriority w:val="99"/>
    <w:rPr>
      <w:sz w:val="20"/>
    </w:rPr>
  </w:style>
  <w:style w:type="character" w:styleId="868">
    <w:name w:val="endnote reference"/>
    <w:uiPriority w:val="99"/>
    <w:semiHidden/>
    <w:unhideWhenUsed/>
    <w:rPr>
      <w:vertAlign w:val="superscript"/>
    </w:rPr>
  </w:style>
  <w:style w:type="paragraph" w:styleId="869">
    <w:name w:val="toc 1"/>
    <w:basedOn w:val="880"/>
    <w:next w:val="880"/>
    <w:uiPriority w:val="39"/>
    <w:unhideWhenUsed/>
    <w:pPr>
      <w:ind w:left="0" w:right="0" w:firstLine="0"/>
      <w:spacing w:after="57"/>
    </w:pPr>
  </w:style>
  <w:style w:type="paragraph" w:styleId="870">
    <w:name w:val="toc 2"/>
    <w:basedOn w:val="880"/>
    <w:next w:val="880"/>
    <w:uiPriority w:val="39"/>
    <w:unhideWhenUsed/>
    <w:pPr>
      <w:ind w:left="283" w:right="0" w:firstLine="0"/>
      <w:spacing w:after="57"/>
    </w:pPr>
  </w:style>
  <w:style w:type="paragraph" w:styleId="871">
    <w:name w:val="toc 3"/>
    <w:basedOn w:val="880"/>
    <w:next w:val="880"/>
    <w:uiPriority w:val="39"/>
    <w:unhideWhenUsed/>
    <w:pPr>
      <w:ind w:left="567" w:right="0" w:firstLine="0"/>
      <w:spacing w:after="57"/>
    </w:pPr>
  </w:style>
  <w:style w:type="paragraph" w:styleId="872">
    <w:name w:val="toc 4"/>
    <w:basedOn w:val="880"/>
    <w:next w:val="880"/>
    <w:uiPriority w:val="39"/>
    <w:unhideWhenUsed/>
    <w:pPr>
      <w:ind w:left="850" w:right="0" w:firstLine="0"/>
      <w:spacing w:after="57"/>
    </w:pPr>
  </w:style>
  <w:style w:type="paragraph" w:styleId="873">
    <w:name w:val="toc 5"/>
    <w:basedOn w:val="880"/>
    <w:next w:val="880"/>
    <w:uiPriority w:val="39"/>
    <w:unhideWhenUsed/>
    <w:pPr>
      <w:ind w:left="1134" w:right="0" w:firstLine="0"/>
      <w:spacing w:after="57"/>
    </w:pPr>
  </w:style>
  <w:style w:type="paragraph" w:styleId="874">
    <w:name w:val="toc 6"/>
    <w:basedOn w:val="880"/>
    <w:next w:val="880"/>
    <w:uiPriority w:val="39"/>
    <w:unhideWhenUsed/>
    <w:pPr>
      <w:ind w:left="1417" w:right="0" w:firstLine="0"/>
      <w:spacing w:after="57"/>
    </w:pPr>
  </w:style>
  <w:style w:type="paragraph" w:styleId="875">
    <w:name w:val="toc 7"/>
    <w:basedOn w:val="880"/>
    <w:next w:val="880"/>
    <w:uiPriority w:val="39"/>
    <w:unhideWhenUsed/>
    <w:pPr>
      <w:ind w:left="1701" w:right="0" w:firstLine="0"/>
      <w:spacing w:after="57"/>
    </w:pPr>
  </w:style>
  <w:style w:type="paragraph" w:styleId="876">
    <w:name w:val="toc 8"/>
    <w:basedOn w:val="880"/>
    <w:next w:val="880"/>
    <w:uiPriority w:val="39"/>
    <w:unhideWhenUsed/>
    <w:pPr>
      <w:ind w:left="1984" w:right="0" w:firstLine="0"/>
      <w:spacing w:after="57"/>
    </w:pPr>
  </w:style>
  <w:style w:type="paragraph" w:styleId="877">
    <w:name w:val="toc 9"/>
    <w:basedOn w:val="880"/>
    <w:next w:val="880"/>
    <w:uiPriority w:val="39"/>
    <w:unhideWhenUsed/>
    <w:pPr>
      <w:ind w:left="2268" w:right="0" w:firstLine="0"/>
      <w:spacing w:after="57"/>
    </w:pPr>
  </w:style>
  <w:style w:type="paragraph" w:styleId="878">
    <w:name w:val="TOC Heading"/>
    <w:uiPriority w:val="39"/>
    <w:unhideWhenUsed/>
  </w:style>
  <w:style w:type="paragraph" w:styleId="879">
    <w:name w:val="table of figures"/>
    <w:basedOn w:val="880"/>
    <w:next w:val="880"/>
    <w:uiPriority w:val="99"/>
    <w:unhideWhenUsed/>
    <w:pPr>
      <w:spacing w:after="0" w:afterAutospacing="0"/>
    </w:pPr>
  </w:style>
  <w:style w:type="paragraph" w:styleId="880" w:default="1">
    <w:name w:val="Normal"/>
    <w:next w:val="880"/>
    <w:link w:val="880"/>
    <w:qFormat/>
    <w:rPr>
      <w:sz w:val="24"/>
      <w:szCs w:val="24"/>
      <w:lang w:val="ru-RU" w:eastAsia="ru-RU" w:bidi="ar-SA"/>
    </w:rPr>
  </w:style>
  <w:style w:type="paragraph" w:styleId="881">
    <w:name w:val="Заголовок 1"/>
    <w:basedOn w:val="880"/>
    <w:next w:val="880"/>
    <w:link w:val="880"/>
    <w:qFormat/>
    <w:pPr>
      <w:jc w:val="center"/>
      <w:keepNext/>
      <w:outlineLvl w:val="0"/>
    </w:pPr>
    <w:rPr>
      <w:b/>
      <w:bCs/>
    </w:rPr>
  </w:style>
  <w:style w:type="paragraph" w:styleId="882">
    <w:name w:val="Заголовок 3"/>
    <w:basedOn w:val="880"/>
    <w:next w:val="880"/>
    <w:link w:val="880"/>
    <w:qFormat/>
    <w:pPr>
      <w:keepNext/>
      <w:spacing w:before="240" w:after="60"/>
      <w:outlineLvl w:val="2"/>
    </w:pPr>
    <w:rPr>
      <w:rFonts w:ascii="Arial" w:hAnsi="Arial" w:cs="Arial"/>
      <w:b/>
      <w:bCs/>
      <w:sz w:val="26"/>
      <w:szCs w:val="26"/>
    </w:rPr>
  </w:style>
  <w:style w:type="character" w:styleId="883">
    <w:name w:val="Основной шрифт абзаца"/>
    <w:next w:val="883"/>
    <w:link w:val="880"/>
    <w:semiHidden/>
  </w:style>
  <w:style w:type="table" w:styleId="884">
    <w:name w:val="Обычная таблица"/>
    <w:next w:val="884"/>
    <w:link w:val="880"/>
    <w:semiHidden/>
    <w:tblPr/>
  </w:style>
  <w:style w:type="numbering" w:styleId="885">
    <w:name w:val="Нет списка"/>
    <w:next w:val="885"/>
    <w:link w:val="880"/>
    <w:semiHidden/>
  </w:style>
  <w:style w:type="paragraph" w:styleId="886">
    <w:name w:val="Название"/>
    <w:basedOn w:val="880"/>
    <w:next w:val="886"/>
    <w:link w:val="926"/>
    <w:qFormat/>
    <w:pPr>
      <w:jc w:val="center"/>
    </w:pPr>
    <w:rPr>
      <w:b/>
      <w:bCs/>
      <w:sz w:val="32"/>
      <w:lang w:val="en-US" w:eastAsia="en-US"/>
    </w:rPr>
  </w:style>
  <w:style w:type="table" w:styleId="887">
    <w:name w:val="Сетка таблицы"/>
    <w:basedOn w:val="884"/>
    <w:next w:val="887"/>
    <w:link w:val="880"/>
    <w:uiPriority w:val="59"/>
    <w:tblPr/>
  </w:style>
  <w:style w:type="paragraph" w:styleId="888">
    <w:name w:val="Основной текст,Основной текст Знак,Основной текст Знак1 Знак1,Основной текст Знак Знак Знак1,Основной текст Знак1 Знак Знак,Основной текст Знак Знак Знак Знак,Основной текст Знак Знак1,Основной текст Знак Знак1 Знак"/>
    <w:basedOn w:val="880"/>
    <w:next w:val="888"/>
    <w:link w:val="880"/>
    <w:pPr>
      <w:spacing w:after="120"/>
    </w:pPr>
  </w:style>
  <w:style w:type="paragraph" w:styleId="889">
    <w:name w:val=" Знак1 Знак Знак Знак Знак Знак Знак Знак Знак Знак"/>
    <w:basedOn w:val="880"/>
    <w:next w:val="889"/>
    <w:link w:val="880"/>
    <w:pPr>
      <w:spacing w:before="100" w:beforeAutospacing="1" w:after="100" w:afterAutospacing="1"/>
    </w:pPr>
    <w:rPr>
      <w:rFonts w:ascii="Tahoma" w:hAnsi="Tahoma"/>
      <w:sz w:val="20"/>
      <w:szCs w:val="20"/>
      <w:lang w:val="en-US" w:eastAsia="en-US"/>
    </w:rPr>
  </w:style>
  <w:style w:type="paragraph" w:styleId="890">
    <w:name w:val="Normal1"/>
    <w:next w:val="890"/>
    <w:link w:val="880"/>
    <w:pPr>
      <w:ind w:firstLine="400"/>
      <w:jc w:val="both"/>
      <w:widowControl w:val="off"/>
    </w:pPr>
    <w:rPr>
      <w:sz w:val="24"/>
      <w:lang w:val="ru-RU" w:eastAsia="ru-RU" w:bidi="ar-SA"/>
    </w:rPr>
  </w:style>
  <w:style w:type="paragraph" w:styleId="891">
    <w:name w:val="Основной текст 2"/>
    <w:basedOn w:val="880"/>
    <w:next w:val="891"/>
    <w:link w:val="916"/>
    <w:pPr>
      <w:spacing w:after="120" w:line="480" w:lineRule="auto"/>
    </w:pPr>
    <w:rPr>
      <w:lang w:val="en-US" w:eastAsia="en-US"/>
    </w:rPr>
  </w:style>
  <w:style w:type="paragraph" w:styleId="892">
    <w:name w:val="Основной текст с отступом"/>
    <w:basedOn w:val="880"/>
    <w:next w:val="892"/>
    <w:link w:val="893"/>
    <w:pPr>
      <w:ind w:left="283"/>
      <w:spacing w:after="120" w:line="276" w:lineRule="auto"/>
    </w:pPr>
    <w:rPr>
      <w:rFonts w:ascii="Calibri" w:hAnsi="Calibri" w:eastAsia="Calibri"/>
      <w:sz w:val="22"/>
      <w:szCs w:val="22"/>
      <w:lang w:eastAsia="en-US"/>
    </w:rPr>
  </w:style>
  <w:style w:type="character" w:styleId="893">
    <w:name w:val="Основной текст с отступом Знак"/>
    <w:next w:val="893"/>
    <w:link w:val="892"/>
    <w:rPr>
      <w:rFonts w:ascii="Calibri" w:hAnsi="Calibri" w:eastAsia="Calibri"/>
      <w:sz w:val="22"/>
      <w:szCs w:val="22"/>
      <w:lang w:val="ru-RU" w:eastAsia="en-US" w:bidi="ar-SA"/>
    </w:rPr>
  </w:style>
  <w:style w:type="paragraph" w:styleId="894">
    <w:name w:val="Текст ТД"/>
    <w:basedOn w:val="880"/>
    <w:next w:val="894"/>
    <w:link w:val="895"/>
    <w:qFormat/>
    <w:pPr>
      <w:numPr>
        <w:ilvl w:val="0"/>
        <w:numId w:val="2"/>
      </w:numPr>
      <w:jc w:val="both"/>
      <w:spacing w:after="200"/>
    </w:pPr>
    <w:rPr>
      <w:rFonts w:eastAsia="Calibri"/>
      <w:lang w:eastAsia="en-US"/>
    </w:rPr>
  </w:style>
  <w:style w:type="character" w:styleId="895">
    <w:name w:val="Текст ТД Знак"/>
    <w:next w:val="895"/>
    <w:link w:val="894"/>
    <w:rPr>
      <w:rFonts w:eastAsia="Calibri"/>
      <w:sz w:val="24"/>
      <w:szCs w:val="24"/>
      <w:lang w:val="ru-RU" w:eastAsia="en-US" w:bidi="ar-SA"/>
    </w:rPr>
  </w:style>
  <w:style w:type="paragraph" w:styleId="896">
    <w:name w:val="caaieiaie 1"/>
    <w:basedOn w:val="880"/>
    <w:next w:val="880"/>
    <w:link w:val="880"/>
    <w:pPr>
      <w:ind w:left="567"/>
      <w:jc w:val="center"/>
      <w:keepNext/>
    </w:pPr>
    <w:rPr>
      <w:b/>
      <w:sz w:val="32"/>
      <w:szCs w:val="20"/>
    </w:rPr>
  </w:style>
  <w:style w:type="paragraph" w:styleId="897">
    <w:name w:val="Обычный (веб),Обычный (Web)"/>
    <w:basedOn w:val="880"/>
    <w:next w:val="897"/>
    <w:link w:val="898"/>
    <w:uiPriority w:val="99"/>
    <w:pPr>
      <w:spacing w:before="100" w:beforeAutospacing="1" w:after="100" w:afterAutospacing="1" w:line="276" w:lineRule="auto"/>
    </w:pPr>
    <w:rPr>
      <w:rFonts w:ascii="Calibri" w:hAnsi="Calibri" w:eastAsia="Calibri"/>
      <w:sz w:val="22"/>
      <w:szCs w:val="22"/>
      <w:lang w:eastAsia="en-US"/>
    </w:rPr>
  </w:style>
  <w:style w:type="character" w:styleId="898">
    <w:name w:val="Обычный (веб) Знак,Обычный (Web) Знак"/>
    <w:next w:val="898"/>
    <w:link w:val="897"/>
    <w:uiPriority w:val="99"/>
    <w:rPr>
      <w:rFonts w:ascii="Calibri" w:hAnsi="Calibri" w:eastAsia="Calibri"/>
      <w:sz w:val="22"/>
      <w:szCs w:val="22"/>
      <w:lang w:val="ru-RU" w:eastAsia="en-US" w:bidi="ar-SA"/>
    </w:rPr>
  </w:style>
  <w:style w:type="paragraph" w:styleId="899">
    <w:name w:val="Body Text 2"/>
    <w:basedOn w:val="880"/>
    <w:next w:val="899"/>
    <w:link w:val="880"/>
    <w:pPr>
      <w:ind w:left="567"/>
      <w:jc w:val="both"/>
    </w:pPr>
    <w:rPr>
      <w:sz w:val="28"/>
      <w:szCs w:val="20"/>
    </w:rPr>
  </w:style>
  <w:style w:type="paragraph" w:styleId="900">
    <w:name w:val="ConsPlusTitle"/>
    <w:next w:val="900"/>
    <w:link w:val="880"/>
    <w:pPr>
      <w:widowControl w:val="off"/>
    </w:pPr>
    <w:rPr>
      <w:rFonts w:ascii="Arial" w:hAnsi="Arial" w:cs="Arial"/>
      <w:b/>
      <w:bCs/>
      <w:lang w:val="ru-RU" w:eastAsia="ru-RU" w:bidi="ar-SA"/>
    </w:rPr>
  </w:style>
  <w:style w:type="paragraph" w:styleId="901">
    <w:name w:val="ConsPlusNormal"/>
    <w:next w:val="901"/>
    <w:link w:val="918"/>
    <w:pPr>
      <w:ind w:firstLine="720"/>
      <w:widowControl w:val="off"/>
    </w:pPr>
    <w:rPr>
      <w:rFonts w:ascii="Arial" w:hAnsi="Arial" w:cs="Arial"/>
      <w:lang w:val="ru-RU" w:eastAsia="ru-RU" w:bidi="ar-SA"/>
    </w:rPr>
  </w:style>
  <w:style w:type="paragraph" w:styleId="902">
    <w:name w:val="Список 2"/>
    <w:basedOn w:val="880"/>
    <w:next w:val="902"/>
    <w:link w:val="880"/>
    <w:pPr>
      <w:ind w:left="566" w:hanging="283"/>
    </w:pPr>
  </w:style>
  <w:style w:type="paragraph" w:styleId="903">
    <w:name w:val=" Знак"/>
    <w:basedOn w:val="880"/>
    <w:next w:val="903"/>
    <w:link w:val="880"/>
    <w:pPr>
      <w:spacing w:before="100" w:beforeAutospacing="1" w:after="100" w:afterAutospacing="1"/>
    </w:pPr>
    <w:rPr>
      <w:rFonts w:ascii="Tahoma" w:hAnsi="Tahoma" w:cs="Tahoma"/>
      <w:sz w:val="20"/>
      <w:szCs w:val="20"/>
      <w:lang w:val="en-US" w:eastAsia="en-US"/>
    </w:rPr>
  </w:style>
  <w:style w:type="paragraph" w:styleId="904">
    <w:name w:val="List Paragraph"/>
    <w:basedOn w:val="880"/>
    <w:next w:val="904"/>
    <w:link w:val="880"/>
    <w:pPr>
      <w:contextualSpacing/>
      <w:ind w:left="720"/>
      <w:spacing w:after="200" w:line="276" w:lineRule="auto"/>
    </w:pPr>
    <w:rPr>
      <w:rFonts w:ascii="Calibri" w:hAnsi="Calibri"/>
      <w:sz w:val="22"/>
      <w:szCs w:val="22"/>
    </w:rPr>
  </w:style>
  <w:style w:type="character" w:styleId="905">
    <w:name w:val="Body text + Times New Roman,10,5 pt"/>
    <w:next w:val="905"/>
    <w:link w:val="880"/>
    <w:rPr>
      <w:rFonts w:ascii="Times New Roman" w:hAnsi="Times New Roman" w:cs="Times New Roman"/>
      <w:sz w:val="21"/>
      <w:szCs w:val="21"/>
      <w:shd w:val="clear" w:color="auto" w:fill="ffffff"/>
    </w:rPr>
  </w:style>
  <w:style w:type="paragraph" w:styleId="906">
    <w:name w:val="Верхний колонтитул"/>
    <w:basedOn w:val="880"/>
    <w:next w:val="906"/>
    <w:link w:val="907"/>
    <w:pPr>
      <w:tabs>
        <w:tab w:val="center" w:pos="4677" w:leader="none"/>
        <w:tab w:val="right" w:pos="9355" w:leader="none"/>
      </w:tabs>
    </w:pPr>
  </w:style>
  <w:style w:type="character" w:styleId="907">
    <w:name w:val="Верхний колонтитул Знак"/>
    <w:next w:val="907"/>
    <w:link w:val="906"/>
    <w:rPr>
      <w:sz w:val="24"/>
      <w:szCs w:val="24"/>
      <w:lang w:val="ru-RU" w:eastAsia="ru-RU" w:bidi="ar-SA"/>
    </w:rPr>
  </w:style>
  <w:style w:type="paragraph" w:styleId="908">
    <w:name w:val="z-Начало формы"/>
    <w:basedOn w:val="880"/>
    <w:next w:val="880"/>
    <w:link w:val="909"/>
    <w:hidden/>
    <w:uiPriority w:val="99"/>
    <w:unhideWhenUsed/>
    <w:pPr>
      <w:jc w:val="center"/>
      <w:pBdr>
        <w:bottom w:val="single" w:color="000000" w:sz="6" w:space="1"/>
      </w:pBdr>
    </w:pPr>
    <w:rPr>
      <w:rFonts w:ascii="Arial" w:hAnsi="Arial"/>
      <w:vanish/>
      <w:sz w:val="16"/>
      <w:szCs w:val="16"/>
      <w:lang w:val="en-US" w:eastAsia="en-US"/>
    </w:rPr>
  </w:style>
  <w:style w:type="character" w:styleId="909">
    <w:name w:val="z-Начало формы Знак"/>
    <w:next w:val="909"/>
    <w:link w:val="908"/>
    <w:uiPriority w:val="99"/>
    <w:rPr>
      <w:rFonts w:ascii="Arial" w:hAnsi="Arial" w:cs="Arial"/>
      <w:vanish/>
      <w:sz w:val="16"/>
      <w:szCs w:val="16"/>
    </w:rPr>
  </w:style>
  <w:style w:type="paragraph" w:styleId="910">
    <w:name w:val="z-Конец формы"/>
    <w:basedOn w:val="880"/>
    <w:next w:val="880"/>
    <w:link w:val="911"/>
    <w:hidden/>
    <w:uiPriority w:val="99"/>
    <w:unhideWhenUsed/>
    <w:pPr>
      <w:jc w:val="center"/>
      <w:pBdr>
        <w:top w:val="single" w:color="000000" w:sz="6" w:space="1"/>
      </w:pBdr>
    </w:pPr>
    <w:rPr>
      <w:rFonts w:ascii="Arial" w:hAnsi="Arial"/>
      <w:vanish/>
      <w:sz w:val="16"/>
      <w:szCs w:val="16"/>
      <w:lang w:val="en-US" w:eastAsia="en-US"/>
    </w:rPr>
  </w:style>
  <w:style w:type="character" w:styleId="911">
    <w:name w:val="z-Конец формы Знак"/>
    <w:next w:val="911"/>
    <w:link w:val="910"/>
    <w:uiPriority w:val="99"/>
    <w:rPr>
      <w:rFonts w:ascii="Arial" w:hAnsi="Arial" w:cs="Arial"/>
      <w:vanish/>
      <w:sz w:val="16"/>
      <w:szCs w:val="16"/>
    </w:rPr>
  </w:style>
  <w:style w:type="character" w:styleId="912">
    <w:name w:val="Гиперссылка"/>
    <w:next w:val="912"/>
    <w:link w:val="880"/>
    <w:uiPriority w:val="99"/>
    <w:unhideWhenUsed/>
    <w:rPr>
      <w:color w:val="0075c5"/>
      <w:u w:val="none"/>
    </w:rPr>
  </w:style>
  <w:style w:type="paragraph" w:styleId="913">
    <w:name w:val="Текст"/>
    <w:basedOn w:val="880"/>
    <w:next w:val="913"/>
    <w:link w:val="914"/>
    <w:uiPriority w:val="99"/>
    <w:unhideWhenUsed/>
    <w:rPr>
      <w:rFonts w:ascii="Consolas" w:hAnsi="Consolas" w:eastAsia="Calibri"/>
      <w:sz w:val="21"/>
      <w:szCs w:val="21"/>
      <w:lang w:val="en-US" w:eastAsia="en-US"/>
    </w:rPr>
  </w:style>
  <w:style w:type="character" w:styleId="914">
    <w:name w:val="Текст Знак"/>
    <w:next w:val="914"/>
    <w:link w:val="913"/>
    <w:uiPriority w:val="99"/>
    <w:rPr>
      <w:rFonts w:ascii="Consolas" w:hAnsi="Consolas" w:eastAsia="Calibri"/>
      <w:sz w:val="21"/>
      <w:szCs w:val="21"/>
      <w:lang w:eastAsia="en-US"/>
    </w:rPr>
  </w:style>
  <w:style w:type="paragraph" w:styleId="915">
    <w:name w:val="Текст выноски"/>
    <w:basedOn w:val="880"/>
    <w:next w:val="915"/>
    <w:link w:val="880"/>
    <w:semiHidden/>
    <w:rPr>
      <w:rFonts w:ascii="Tahoma" w:hAnsi="Tahoma" w:cs="Tahoma"/>
      <w:sz w:val="16"/>
      <w:szCs w:val="16"/>
    </w:rPr>
  </w:style>
  <w:style w:type="character" w:styleId="916">
    <w:name w:val="Основной текст 2 Знак"/>
    <w:next w:val="916"/>
    <w:link w:val="891"/>
    <w:rPr>
      <w:sz w:val="24"/>
      <w:szCs w:val="24"/>
    </w:rPr>
  </w:style>
  <w:style w:type="paragraph" w:styleId="917">
    <w:name w:val="1"/>
    <w:basedOn w:val="880"/>
    <w:next w:val="917"/>
    <w:link w:val="880"/>
    <w:pPr>
      <w:spacing w:before="100" w:beforeAutospacing="1" w:after="100" w:afterAutospacing="1"/>
    </w:pPr>
    <w:rPr>
      <w:rFonts w:ascii="Tahoma" w:hAnsi="Tahoma"/>
      <w:sz w:val="20"/>
      <w:szCs w:val="20"/>
      <w:lang w:val="en-US" w:eastAsia="en-US"/>
    </w:rPr>
  </w:style>
  <w:style w:type="character" w:styleId="918">
    <w:name w:val="ConsPlusNormal Знак"/>
    <w:next w:val="918"/>
    <w:link w:val="901"/>
    <w:rPr>
      <w:rFonts w:ascii="Arial" w:hAnsi="Arial" w:cs="Arial"/>
      <w:lang w:val="ru-RU" w:eastAsia="ru-RU" w:bidi="ar-SA"/>
    </w:rPr>
  </w:style>
  <w:style w:type="character" w:styleId="919">
    <w:name w:val="Обычный (веб) Знак1,Обычный (веб) Знак Знак,Знак Знак2 Знак,Обычный (веб) Знак Знак Знак1 Знак,Обычный (веб) Знак Знак Знак Знак Знак,Знак Знак Знак1 Знак Знак Знак,Обычный (веб) Знак Знак Знак Знак1,Знак Знак1 Знак"/>
    <w:next w:val="919"/>
    <w:link w:val="880"/>
    <w:rPr>
      <w:rFonts w:ascii="Arial" w:hAnsi="Arial" w:eastAsia="Times New Roman" w:cs="Arial"/>
      <w:sz w:val="20"/>
      <w:szCs w:val="20"/>
      <w:lang w:eastAsia="ru-RU"/>
    </w:rPr>
  </w:style>
  <w:style w:type="paragraph" w:styleId="920">
    <w:name w:val="ConsPlusNonformat"/>
    <w:next w:val="920"/>
    <w:link w:val="880"/>
    <w:qFormat/>
    <w:pPr>
      <w:widowControl w:val="off"/>
    </w:pPr>
    <w:rPr>
      <w:rFonts w:ascii="Courier New" w:hAnsi="Courier New" w:cs="Courier New"/>
      <w:lang w:val="en-US" w:eastAsia="ru-RU" w:bidi="en-US"/>
    </w:rPr>
  </w:style>
  <w:style w:type="paragraph" w:styleId="921">
    <w:name w:val="Стандартный HTML"/>
    <w:basedOn w:val="880"/>
    <w:next w:val="921"/>
    <w:link w:val="922"/>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olor w:val="000000"/>
      <w:sz w:val="20"/>
      <w:szCs w:val="20"/>
      <w:lang w:val="en-US" w:eastAsia="en-US"/>
    </w:rPr>
  </w:style>
  <w:style w:type="character" w:styleId="922">
    <w:name w:val="Стандартный HTML Знак"/>
    <w:next w:val="922"/>
    <w:link w:val="921"/>
    <w:rPr>
      <w:rFonts w:ascii="Courier New" w:hAnsi="Courier New" w:cs="Courier New"/>
      <w:color w:val="000000"/>
    </w:rPr>
  </w:style>
  <w:style w:type="character" w:styleId="923">
    <w:name w:val="Основной текст (2)_"/>
    <w:next w:val="923"/>
    <w:link w:val="924"/>
    <w:rPr>
      <w:shd w:val="clear" w:color="auto" w:fill="ffffff"/>
    </w:rPr>
  </w:style>
  <w:style w:type="paragraph" w:styleId="924">
    <w:name w:val="Основной текст (2)"/>
    <w:basedOn w:val="880"/>
    <w:next w:val="924"/>
    <w:link w:val="923"/>
    <w:pPr>
      <w:spacing w:before="1380" w:line="413" w:lineRule="exact"/>
      <w:shd w:val="clear" w:color="auto" w:fill="ffffff"/>
      <w:widowControl w:val="off"/>
    </w:pPr>
    <w:rPr>
      <w:sz w:val="20"/>
      <w:szCs w:val="20"/>
      <w:lang w:val="en-US" w:eastAsia="en-US"/>
    </w:rPr>
  </w:style>
  <w:style w:type="paragraph" w:styleId="925">
    <w:name w:val="Абзац списка"/>
    <w:basedOn w:val="880"/>
    <w:next w:val="925"/>
    <w:link w:val="880"/>
    <w:uiPriority w:val="34"/>
    <w:qFormat/>
    <w:pPr>
      <w:contextualSpacing/>
      <w:ind w:left="720"/>
      <w:spacing w:after="200" w:line="276" w:lineRule="auto"/>
    </w:pPr>
    <w:rPr>
      <w:rFonts w:ascii="Calibri" w:hAnsi="Calibri" w:eastAsia="Calibri" w:cs="Times New Roman"/>
      <w:sz w:val="22"/>
      <w:szCs w:val="22"/>
      <w:lang w:eastAsia="en-US"/>
    </w:rPr>
  </w:style>
  <w:style w:type="character" w:styleId="926">
    <w:name w:val="Название Знак"/>
    <w:next w:val="926"/>
    <w:link w:val="886"/>
    <w:rPr>
      <w:b/>
      <w:bCs/>
      <w:sz w:val="32"/>
      <w:szCs w:val="24"/>
    </w:rPr>
  </w:style>
  <w:style w:type="character" w:styleId="927">
    <w:name w:val="Название Знак2,Знак Знак Знак Знак Знак Знак Знак Знак Знак,Знак Знак Знак Знак Знак Знак Знак,Знак Знак Знак Знак, Знак Знак Знак Знак Знак,Знак Знак Знак1 Знак1,Знак2 Знак1,Знак Знак Знак Знак Знак1 Знак,Название Знак Знак,Знак2 Знак Знак"/>
    <w:next w:val="927"/>
    <w:link w:val="928"/>
    <w:rPr>
      <w:rFonts w:ascii="Arial" w:hAnsi="Arial" w:eastAsia="Calibri"/>
      <w:b/>
      <w:lang w:eastAsia="en-US"/>
    </w:rPr>
  </w:style>
  <w:style w:type="paragraph" w:styleId="928">
    <w:name w:val="Знак Знак Знак Знак Знак Знак Знак Знак,Знак Знак Знак Знак Знак Знак,Знак Знак Знак, Знак Знак Знак Знак,Знак Знак Знак1,Знак2,Знак Знак Знак Знак Знак1,Знак2 Знак, Знак Знак Знак Знак Знак1,Название Знак1,Название1"/>
    <w:basedOn w:val="880"/>
    <w:next w:val="886"/>
    <w:link w:val="927"/>
    <w:qFormat/>
    <w:pPr>
      <w:ind w:firstLine="426"/>
      <w:jc w:val="center"/>
      <w:spacing w:after="200" w:line="276" w:lineRule="auto"/>
    </w:pPr>
    <w:rPr>
      <w:rFonts w:ascii="Arial" w:hAnsi="Arial" w:eastAsia="Calibri"/>
      <w:b/>
      <w:sz w:val="20"/>
      <w:szCs w:val="20"/>
      <w:lang w:val="en-US" w:eastAsia="en-US"/>
    </w:rPr>
  </w:style>
  <w:style w:type="paragraph" w:styleId="929">
    <w:name w:val="Default"/>
    <w:next w:val="929"/>
    <w:link w:val="880"/>
    <w:rPr>
      <w:rFonts w:ascii="Calibri" w:hAnsi="Calibri" w:eastAsia="Calibri" w:cs="Calibri"/>
      <w:color w:val="000000"/>
      <w:sz w:val="24"/>
      <w:szCs w:val="24"/>
      <w:lang w:val="ru-RU" w:eastAsia="ru-RU" w:bidi="ar-SA"/>
    </w:rPr>
  </w:style>
  <w:style w:type="character" w:styleId="930">
    <w:name w:val="blk"/>
    <w:next w:val="930"/>
    <w:link w:val="880"/>
  </w:style>
  <w:style w:type="character" w:styleId="931">
    <w:name w:val="Номер страницы"/>
    <w:next w:val="931"/>
    <w:link w:val="880"/>
  </w:style>
  <w:style w:type="paragraph" w:styleId="932">
    <w:name w:val="Без интервала"/>
    <w:next w:val="932"/>
    <w:link w:val="933"/>
    <w:uiPriority w:val="1"/>
    <w:qFormat/>
    <w:rPr>
      <w:rFonts w:ascii="Calibri" w:hAnsi="Calibri" w:eastAsia="Calibri"/>
      <w:sz w:val="22"/>
      <w:szCs w:val="22"/>
      <w:lang w:val="ru-RU" w:eastAsia="en-US" w:bidi="ar-SA"/>
    </w:rPr>
  </w:style>
  <w:style w:type="character" w:styleId="933">
    <w:name w:val="Без интервала Знак"/>
    <w:next w:val="933"/>
    <w:link w:val="932"/>
    <w:uiPriority w:val="1"/>
    <w:rPr>
      <w:rFonts w:ascii="Calibri" w:hAnsi="Calibri" w:eastAsia="Calibri"/>
      <w:sz w:val="22"/>
      <w:szCs w:val="22"/>
      <w:lang w:eastAsia="en-US" w:bidi="ar-SA"/>
    </w:rPr>
  </w:style>
  <w:style w:type="character" w:styleId="934">
    <w:name w:val="fontstyle01"/>
    <w:next w:val="934"/>
    <w:link w:val="880"/>
    <w:rPr>
      <w:rFonts w:ascii="Calibri" w:hAnsi="Calibri" w:cs="Calibri"/>
      <w:color w:val="000000"/>
      <w:sz w:val="28"/>
      <w:szCs w:val="28"/>
    </w:rPr>
  </w:style>
  <w:style w:type="character" w:styleId="935" w:default="1">
    <w:name w:val="Default Paragraph Font"/>
    <w:uiPriority w:val="1"/>
    <w:semiHidden/>
    <w:unhideWhenUsed/>
  </w:style>
  <w:style w:type="numbering" w:styleId="936" w:default="1">
    <w:name w:val="No List"/>
    <w:uiPriority w:val="99"/>
    <w:semiHidden/>
    <w:unhideWhenUsed/>
  </w:style>
  <w:style w:type="table" w:styleId="937"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yperlink" Target="https://gos.roseltorg.ru/"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Company>A1</Company>
  <DocSecurity>0</DocSecurity>
  <HyperlinksChanged>false</HyperlinksChanged>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Общество с ограниченной ответственностью</dc:title>
  <dc:creator>N8</dc:creator>
  <cp:lastModifiedBy>shklyaeva</cp:lastModifiedBy>
  <cp:revision>58</cp:revision>
  <dcterms:created xsi:type="dcterms:W3CDTF">2021-05-26T10:40:00Z</dcterms:created>
  <dcterms:modified xsi:type="dcterms:W3CDTF">2026-03-30T12:19:51Z</dcterms:modified>
  <cp:version>1048576</cp:version>
</cp:coreProperties>
</file>